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D24" w:rsidRPr="00B65068" w:rsidRDefault="002C1D24">
      <w:pPr>
        <w:rPr>
          <w:rFonts w:ascii="Arial" w:hAnsi="Arial" w:cs="Arial"/>
          <w:b/>
          <w:sz w:val="22"/>
          <w:szCs w:val="22"/>
        </w:rPr>
      </w:pPr>
      <w:r w:rsidRPr="00B65068">
        <w:rPr>
          <w:rFonts w:ascii="Arial" w:hAnsi="Arial" w:cs="Arial"/>
          <w:b/>
          <w:sz w:val="22"/>
          <w:szCs w:val="22"/>
        </w:rPr>
        <w:t>Indikator 8.25 (K)</w:t>
      </w:r>
    </w:p>
    <w:p w:rsidR="002C1D24" w:rsidRPr="00B65068" w:rsidRDefault="002C1D24">
      <w:pPr>
        <w:rPr>
          <w:rFonts w:ascii="Arial" w:hAnsi="Arial" w:cs="Arial"/>
          <w:b/>
          <w:sz w:val="22"/>
          <w:szCs w:val="22"/>
        </w:rPr>
      </w:pPr>
      <w:r w:rsidRPr="00B65068">
        <w:rPr>
          <w:rFonts w:ascii="Arial" w:hAnsi="Arial" w:cs="Arial"/>
          <w:b/>
          <w:sz w:val="22"/>
          <w:szCs w:val="22"/>
        </w:rPr>
        <w:t>Personal in Pflegeeinrichtungen nach Beschäftigungsverhältnis, Tätigkeitsbereich, Berufsabschluss und Geschlecht, Land, Jahr</w:t>
      </w:r>
    </w:p>
    <w:p w:rsidR="002C1D24" w:rsidRPr="00B65068" w:rsidRDefault="002C1D24">
      <w:pPr>
        <w:rPr>
          <w:rFonts w:ascii="Arial" w:hAnsi="Arial" w:cs="Arial"/>
          <w:b/>
        </w:rPr>
      </w:pPr>
    </w:p>
    <w:p w:rsidR="002C1D24" w:rsidRPr="00B65068" w:rsidRDefault="002C1D24">
      <w:pPr>
        <w:rPr>
          <w:rFonts w:ascii="Arial" w:hAnsi="Arial" w:cs="Arial"/>
          <w:b/>
        </w:rPr>
      </w:pPr>
      <w:r w:rsidRPr="00B65068">
        <w:rPr>
          <w:rFonts w:ascii="Arial" w:hAnsi="Arial" w:cs="Arial"/>
          <w:b/>
        </w:rPr>
        <w:t>Definition</w:t>
      </w:r>
    </w:p>
    <w:p w:rsidR="002C1D24" w:rsidRPr="00B65068" w:rsidRDefault="002C1D24">
      <w:pPr>
        <w:rPr>
          <w:rFonts w:ascii="Arial" w:hAnsi="Arial" w:cs="Arial"/>
        </w:rPr>
      </w:pPr>
      <w:r w:rsidRPr="00B65068">
        <w:rPr>
          <w:rFonts w:ascii="Arial" w:hAnsi="Arial" w:cs="Arial"/>
        </w:rPr>
        <w:t>Auf der Basis zuverlässiger Daten über die personelle Ausstattung in den Pflegeeinrichtungen sollen Entwicklungstendenzen im Bereich der pflegerischen Versorgung unter Berücksichtigung bedarfsorientierter pflegerischer Angebote und Nachfragen rechtzeitig erkannt werden. Die Daten des Indikators 8.25 sind Ansatz für Planungsentscheidungen und ggf. für Anpassungen im Pflegeversicherungsgesetz (SGB XI).</w:t>
      </w:r>
    </w:p>
    <w:p w:rsidR="002C1D24" w:rsidRPr="00B65068" w:rsidRDefault="002C1D24">
      <w:pPr>
        <w:rPr>
          <w:rFonts w:ascii="Arial" w:hAnsi="Arial" w:cs="Arial"/>
        </w:rPr>
      </w:pPr>
      <w:r w:rsidRPr="00B65068">
        <w:rPr>
          <w:rFonts w:ascii="Arial" w:hAnsi="Arial" w:cs="Arial"/>
        </w:rPr>
        <w:t xml:space="preserve">Erfasst wird das Personal aller ambulanten und stationären Pflegeeinrichtungen, mit denen die Pflegekassen einen Versorgungsvertrag abgeschlossen haben oder mit denen ein Versorgungsvertrag - aufgrund der Bestandsschutzregelungen des § 73 SGB XI - als abgeschlossen gilt. </w:t>
      </w:r>
    </w:p>
    <w:p w:rsidR="002C1D24" w:rsidRPr="00B65068" w:rsidRDefault="002C1D24">
      <w:pPr>
        <w:rPr>
          <w:rFonts w:ascii="Arial" w:hAnsi="Arial" w:cs="Arial"/>
        </w:rPr>
      </w:pPr>
      <w:r w:rsidRPr="00B65068">
        <w:rPr>
          <w:rFonts w:ascii="Arial" w:hAnsi="Arial" w:cs="Arial"/>
        </w:rPr>
        <w:t>Die Erläuterungen der Pflegeeinrichtungen und des Pflegepersonals sind dem Indikator 8.24 zu entnehmen.</w:t>
      </w:r>
    </w:p>
    <w:p w:rsidR="002C1D24" w:rsidRPr="00B65068" w:rsidRDefault="002C1D24">
      <w:pPr>
        <w:rPr>
          <w:rFonts w:ascii="Arial" w:hAnsi="Arial" w:cs="Arial"/>
        </w:rPr>
      </w:pPr>
      <w:r w:rsidRPr="00B65068">
        <w:rPr>
          <w:rFonts w:ascii="Arial" w:hAnsi="Arial" w:cs="Arial"/>
        </w:rPr>
        <w:t>Vollzeitbeschäftigte sind Personen, deren Arbeitszeit in der Regel der betriebsüblichen Arbeitszeit entspricht.</w:t>
      </w:r>
    </w:p>
    <w:p w:rsidR="002C1D24" w:rsidRPr="00B65068" w:rsidRDefault="002C1D24">
      <w:pPr>
        <w:rPr>
          <w:rFonts w:ascii="Arial" w:hAnsi="Arial" w:cs="Arial"/>
        </w:rPr>
      </w:pPr>
      <w:r w:rsidRPr="00B65068">
        <w:rPr>
          <w:rFonts w:ascii="Arial" w:hAnsi="Arial" w:cs="Arial"/>
        </w:rPr>
        <w:t>Teilzeitbeschäftigt sind Personen, in deren Arbeitsvertrag nur eine kürzere als die betriebsübliche Wo</w:t>
      </w:r>
      <w:r w:rsidR="00BE7765" w:rsidRPr="00B65068">
        <w:rPr>
          <w:rFonts w:ascii="Arial" w:hAnsi="Arial" w:cs="Arial"/>
        </w:rPr>
        <w:t>chenarbeitszeit vorgesehen ist.</w:t>
      </w:r>
    </w:p>
    <w:p w:rsidR="002C1D24" w:rsidRDefault="002C1D24">
      <w:pPr>
        <w:rPr>
          <w:rFonts w:ascii="Arial" w:hAnsi="Arial" w:cs="Arial"/>
        </w:rPr>
      </w:pPr>
      <w:r w:rsidRPr="00B65068">
        <w:rPr>
          <w:rFonts w:ascii="Arial" w:hAnsi="Arial" w:cs="Arial"/>
        </w:rPr>
        <w:t>Überwiegender Tätigkeitsbereich: Hierunter ist nicht unbedingt zu verstehen, dass in diesem Bereich über 50 % der Arbeitszeit abgeleistet wird, sondern dass es im Pflegeheim bzw. Pflegedienst keinen anderen Tätigkeitsbereich gibt, in dem die betreffende Person länger arbeitet.</w:t>
      </w:r>
    </w:p>
    <w:p w:rsidR="004173EF" w:rsidRDefault="004173EF">
      <w:pPr>
        <w:rPr>
          <w:rFonts w:ascii="Arial" w:hAnsi="Arial" w:cs="Arial"/>
        </w:rPr>
      </w:pPr>
    </w:p>
    <w:p w:rsidR="004173EF" w:rsidRPr="00B65068" w:rsidRDefault="004173EF">
      <w:pPr>
        <w:rPr>
          <w:rFonts w:ascii="Arial" w:hAnsi="Arial" w:cs="Arial"/>
        </w:rPr>
      </w:pPr>
      <w:r w:rsidRPr="004173EF">
        <w:rPr>
          <w:rFonts w:ascii="Arial" w:hAnsi="Arial" w:cs="Arial"/>
          <w:u w:val="single"/>
        </w:rPr>
        <w:t xml:space="preserve">Tätigkeitsbereiche </w:t>
      </w:r>
      <w:r w:rsidRPr="004173EF">
        <w:rPr>
          <w:rFonts w:ascii="Arial" w:hAnsi="Arial" w:cs="Arial"/>
          <w:u w:val="single"/>
        </w:rPr>
        <w:t>ab</w:t>
      </w:r>
      <w:r w:rsidRPr="004173EF">
        <w:rPr>
          <w:rFonts w:ascii="Arial" w:hAnsi="Arial" w:cs="Arial"/>
          <w:u w:val="single"/>
        </w:rPr>
        <w:t xml:space="preserve"> 20</w:t>
      </w:r>
      <w:r w:rsidRPr="004173EF">
        <w:rPr>
          <w:rFonts w:ascii="Arial" w:hAnsi="Arial" w:cs="Arial"/>
          <w:u w:val="single"/>
        </w:rPr>
        <w:t>21</w:t>
      </w:r>
      <w:r>
        <w:rPr>
          <w:rFonts w:ascii="Arial" w:hAnsi="Arial" w:cs="Arial"/>
        </w:rPr>
        <w:t xml:space="preserve"> (durch die Umgestaltung des Indikators, sind die Zahlen nur bedingt </w:t>
      </w:r>
      <w:r>
        <w:rPr>
          <w:rFonts w:ascii="Arial" w:hAnsi="Arial" w:cs="Arial"/>
        </w:rPr>
        <w:t xml:space="preserve">mit den Vorjahren </w:t>
      </w:r>
      <w:r>
        <w:rPr>
          <w:rFonts w:ascii="Arial" w:hAnsi="Arial" w:cs="Arial"/>
        </w:rPr>
        <w:t>vergleichbar):</w:t>
      </w:r>
    </w:p>
    <w:p w:rsidR="00D90A01" w:rsidRPr="00B65068" w:rsidRDefault="001530CD" w:rsidP="00F45BAB">
      <w:pPr>
        <w:pStyle w:val="Listenabsatz"/>
        <w:numPr>
          <w:ilvl w:val="0"/>
          <w:numId w:val="14"/>
        </w:numPr>
        <w:rPr>
          <w:rFonts w:ascii="Arial" w:hAnsi="Arial" w:cs="Arial"/>
        </w:rPr>
      </w:pPr>
      <w:r w:rsidRPr="00B65068">
        <w:rPr>
          <w:rFonts w:ascii="Arial" w:hAnsi="Arial" w:cs="Arial"/>
          <w:i/>
        </w:rPr>
        <w:t>Pflegedienstleitung (ambulant)</w:t>
      </w:r>
      <w:r w:rsidRPr="00B65068">
        <w:rPr>
          <w:rFonts w:ascii="Arial" w:hAnsi="Arial" w:cs="Arial"/>
        </w:rPr>
        <w:br/>
        <w:t>Wahrnehmung von Aufgaben, die mit der Übernahme der pflegerischen Gesamtverantwortung in einer ambulanten Pflegeeinrichtung zwingend verbunden sind.</w:t>
      </w:r>
    </w:p>
    <w:p w:rsidR="001530CD" w:rsidRPr="00B65068" w:rsidRDefault="001530CD" w:rsidP="00F45BAB">
      <w:pPr>
        <w:pStyle w:val="Listenabsatz"/>
        <w:numPr>
          <w:ilvl w:val="0"/>
          <w:numId w:val="14"/>
        </w:numPr>
        <w:rPr>
          <w:rFonts w:ascii="Arial" w:hAnsi="Arial" w:cs="Arial"/>
          <w:color w:val="000000"/>
          <w:shd w:val="clear" w:color="auto" w:fill="FFFFFF"/>
        </w:rPr>
      </w:pPr>
      <w:r w:rsidRPr="00B65068">
        <w:rPr>
          <w:rFonts w:ascii="Arial" w:hAnsi="Arial" w:cs="Arial"/>
          <w:i/>
        </w:rPr>
        <w:t>Zusätzliches Pflegefachpersonal (§8 Abs.6 SGB XI</w:t>
      </w:r>
      <w:r w:rsidR="004B713A" w:rsidRPr="00B65068">
        <w:rPr>
          <w:rFonts w:ascii="Arial" w:hAnsi="Arial" w:cs="Arial"/>
          <w:i/>
        </w:rPr>
        <w:t>)(stationär) und zusätzlich</w:t>
      </w:r>
      <w:r w:rsidR="00F45BAB" w:rsidRPr="00B65068">
        <w:rPr>
          <w:rFonts w:ascii="Arial" w:hAnsi="Arial" w:cs="Arial"/>
          <w:i/>
        </w:rPr>
        <w:t>es</w:t>
      </w:r>
      <w:r w:rsidR="004B713A" w:rsidRPr="00B65068">
        <w:rPr>
          <w:rFonts w:ascii="Arial" w:hAnsi="Arial" w:cs="Arial"/>
          <w:i/>
        </w:rPr>
        <w:t xml:space="preserve"> </w:t>
      </w:r>
      <w:proofErr w:type="spellStart"/>
      <w:r w:rsidR="004B713A" w:rsidRPr="00B65068">
        <w:rPr>
          <w:rFonts w:ascii="Arial" w:hAnsi="Arial" w:cs="Arial"/>
          <w:i/>
        </w:rPr>
        <w:t>Pflegehilfskraftpersonal</w:t>
      </w:r>
      <w:proofErr w:type="spellEnd"/>
      <w:r w:rsidR="004B713A" w:rsidRPr="00B65068">
        <w:rPr>
          <w:rFonts w:ascii="Arial" w:hAnsi="Arial" w:cs="Arial"/>
          <w:i/>
        </w:rPr>
        <w:t xml:space="preserve"> (§ 84 Abs. 9 SBG XI) (stationär)</w:t>
      </w:r>
      <w:r w:rsidR="004B713A" w:rsidRPr="00B65068">
        <w:rPr>
          <w:rFonts w:ascii="Arial" w:hAnsi="Arial" w:cs="Arial"/>
        </w:rPr>
        <w:br/>
      </w:r>
      <w:r w:rsidR="004B713A" w:rsidRPr="00B65068">
        <w:rPr>
          <w:rFonts w:ascii="Arial" w:hAnsi="Arial" w:cs="Arial"/>
          <w:color w:val="000000"/>
          <w:shd w:val="clear" w:color="auto" w:fill="FFFFFF"/>
        </w:rPr>
        <w:t>Das zusätzliche Pflegepersonal muss zur Erbringung aller vollstationären Pflegeleistungen vorgesehen sein und es muss sich bei dem Personal um Pflegefachkräfte handeln</w:t>
      </w:r>
      <w:r w:rsidR="004B713A" w:rsidRPr="00B65068">
        <w:rPr>
          <w:rFonts w:ascii="Arial" w:hAnsi="Arial" w:cs="Arial"/>
        </w:rPr>
        <w:br/>
      </w:r>
      <w:r w:rsidR="003978BB" w:rsidRPr="00B65068">
        <w:rPr>
          <w:rFonts w:ascii="Arial" w:hAnsi="Arial" w:cs="Arial"/>
          <w:color w:val="000000"/>
          <w:shd w:val="clear" w:color="auto" w:fill="FFFFFF"/>
        </w:rPr>
        <w:t>Es handelt sich um zusätzlich eingestelltes Pflegepersonal, das über das Personal hinausgeht, das die Pflegeeinrichtung nach der Pflegesatzvereinbarung vorzuhalten hat.</w:t>
      </w:r>
    </w:p>
    <w:p w:rsidR="003978BB" w:rsidRPr="00B65068" w:rsidRDefault="003978BB" w:rsidP="007B01E7">
      <w:pPr>
        <w:pStyle w:val="Listenabsatz"/>
        <w:numPr>
          <w:ilvl w:val="0"/>
          <w:numId w:val="14"/>
        </w:numPr>
        <w:rPr>
          <w:rFonts w:ascii="Arial" w:hAnsi="Arial" w:cs="Arial"/>
        </w:rPr>
      </w:pPr>
      <w:r w:rsidRPr="00B65068">
        <w:rPr>
          <w:rFonts w:ascii="Arial" w:hAnsi="Arial" w:cs="Arial"/>
          <w:i/>
        </w:rPr>
        <w:t>Körperbezogene Pflege</w:t>
      </w:r>
      <w:r w:rsidR="00F45BAB" w:rsidRPr="00B65068">
        <w:rPr>
          <w:rFonts w:ascii="Arial" w:hAnsi="Arial" w:cs="Arial"/>
          <w:i/>
        </w:rPr>
        <w:br/>
      </w:r>
      <w:r w:rsidRPr="00B65068">
        <w:rPr>
          <w:rFonts w:ascii="Arial" w:hAnsi="Arial" w:cs="Arial"/>
        </w:rPr>
        <w:t>Alle Tätigkeiten des Alltags, die aufgrund der Pflegebedürftigkeit nicht mehr oder nur bedingt selbstständig durchgeführt werden können.</w:t>
      </w:r>
    </w:p>
    <w:p w:rsidR="00924B07" w:rsidRPr="00B65068" w:rsidRDefault="003978BB" w:rsidP="00F45BAB">
      <w:pPr>
        <w:pStyle w:val="Listenabsatz"/>
        <w:numPr>
          <w:ilvl w:val="0"/>
          <w:numId w:val="14"/>
        </w:numPr>
        <w:rPr>
          <w:rFonts w:ascii="Arial" w:hAnsi="Arial" w:cs="Arial"/>
        </w:rPr>
      </w:pPr>
      <w:r w:rsidRPr="00B65068">
        <w:rPr>
          <w:rFonts w:ascii="Arial" w:hAnsi="Arial" w:cs="Arial"/>
          <w:i/>
        </w:rPr>
        <w:t>Betreuung und zusätzliche Betreuung (§ 43b SGB XI</w:t>
      </w:r>
      <w:r w:rsidR="00070862" w:rsidRPr="00B65068">
        <w:rPr>
          <w:rFonts w:ascii="Arial" w:hAnsi="Arial" w:cs="Arial"/>
          <w:i/>
        </w:rPr>
        <w:t>) (stationär</w:t>
      </w:r>
      <w:r w:rsidRPr="00B65068">
        <w:rPr>
          <w:rFonts w:ascii="Arial" w:hAnsi="Arial" w:cs="Arial"/>
          <w:i/>
        </w:rPr>
        <w:t>)</w:t>
      </w:r>
      <w:r w:rsidR="00F45BAB" w:rsidRPr="00B65068">
        <w:rPr>
          <w:rFonts w:ascii="Arial" w:hAnsi="Arial" w:cs="Arial"/>
          <w:i/>
        </w:rPr>
        <w:br/>
      </w:r>
      <w:r w:rsidR="00924B07" w:rsidRPr="00B65068">
        <w:rPr>
          <w:rFonts w:ascii="Arial" w:hAnsi="Arial" w:cs="Arial"/>
        </w:rPr>
        <w:t xml:space="preserve">Teilweise oder vollständige Übernahme von Verrichtungen des täglichen Lebensablaufs sowie die Beaufsichtigung bzw. Anleitung zur eigenständigen Übernahme dieser Verrichtungen durch den Pflegebedürftigen bzw. Pflegebedürftige in stationären Pflegeeinrichtungen haben nach Maßgabe von § 84 Absatz 8 und § 85 Absatz 8 Anspruch auf zusätzliche Betreuung und Aktivierung, die über die nach Art und Schwere der Pflegebedürftigkeit notwendige Versorgung hinausgeht. </w:t>
      </w:r>
    </w:p>
    <w:p w:rsidR="00924B07" w:rsidRPr="00B65068" w:rsidRDefault="00924B07" w:rsidP="00870D0C">
      <w:pPr>
        <w:pStyle w:val="Listenabsatz"/>
        <w:numPr>
          <w:ilvl w:val="0"/>
          <w:numId w:val="14"/>
        </w:numPr>
        <w:rPr>
          <w:rFonts w:ascii="Arial" w:hAnsi="Arial" w:cs="Arial"/>
        </w:rPr>
      </w:pPr>
      <w:r w:rsidRPr="00B65068">
        <w:rPr>
          <w:rFonts w:ascii="Arial" w:hAnsi="Arial" w:cs="Arial"/>
          <w:i/>
        </w:rPr>
        <w:t>Hilfen bei Haushaltsführung und Hauswirtschaftsbereich</w:t>
      </w:r>
      <w:r w:rsidR="00F45BAB" w:rsidRPr="00B65068">
        <w:rPr>
          <w:rFonts w:ascii="Arial" w:hAnsi="Arial" w:cs="Arial"/>
          <w:i/>
        </w:rPr>
        <w:br/>
      </w:r>
      <w:r w:rsidRPr="00B65068">
        <w:rPr>
          <w:rFonts w:ascii="Arial" w:hAnsi="Arial" w:cs="Arial"/>
          <w:i/>
        </w:rPr>
        <w:t xml:space="preserve">Haushaltsführung (ambulant): </w:t>
      </w:r>
      <w:r w:rsidRPr="00B65068">
        <w:rPr>
          <w:rFonts w:ascii="Arial" w:hAnsi="Arial" w:cs="Arial"/>
        </w:rPr>
        <w:t>Einkaufen, Kochen und Spülen, Reinigen und Beheizen der Wohnungen von Pflegebedürftigen sowie Wechseln und Waschen ihrer Kleidung bzw. Wäsche.</w:t>
      </w:r>
      <w:r w:rsidR="00F45BAB" w:rsidRPr="00B65068">
        <w:rPr>
          <w:rFonts w:ascii="Arial" w:hAnsi="Arial" w:cs="Arial"/>
        </w:rPr>
        <w:br/>
      </w:r>
      <w:r w:rsidRPr="00B65068">
        <w:rPr>
          <w:rFonts w:ascii="Arial" w:hAnsi="Arial" w:cs="Arial"/>
          <w:i/>
        </w:rPr>
        <w:t xml:space="preserve">Hauswirtschaftsbereich (stationär): </w:t>
      </w:r>
      <w:r w:rsidRPr="00B65068">
        <w:rPr>
          <w:rFonts w:ascii="Arial" w:hAnsi="Arial" w:cs="Arial"/>
        </w:rPr>
        <w:t>Hierzu zählen z. B. Reinigungsarbeiten oder die Vorbereitung von Mahlzeiten.</w:t>
      </w:r>
    </w:p>
    <w:p w:rsidR="00614EEF" w:rsidRPr="00B65068" w:rsidRDefault="00614EEF" w:rsidP="00D0129A">
      <w:pPr>
        <w:pStyle w:val="Listenabsatz"/>
        <w:numPr>
          <w:ilvl w:val="0"/>
          <w:numId w:val="14"/>
        </w:numPr>
        <w:rPr>
          <w:rFonts w:ascii="Arial" w:hAnsi="Arial" w:cs="Arial"/>
        </w:rPr>
      </w:pPr>
      <w:r w:rsidRPr="00B65068">
        <w:rPr>
          <w:rFonts w:ascii="Arial" w:hAnsi="Arial" w:cs="Arial"/>
          <w:i/>
        </w:rPr>
        <w:t>Verwaltung, Geschäftsführung</w:t>
      </w:r>
      <w:r w:rsidR="00F45BAB" w:rsidRPr="00B65068">
        <w:rPr>
          <w:rFonts w:ascii="Arial" w:hAnsi="Arial" w:cs="Arial"/>
          <w:i/>
        </w:rPr>
        <w:br/>
      </w:r>
      <w:r w:rsidRPr="00B65068">
        <w:rPr>
          <w:rFonts w:ascii="Arial" w:hAnsi="Arial" w:cs="Arial"/>
        </w:rPr>
        <w:t>Personen der Verwaltung und Geschäftsführung, die - mit Ausnahme der Verantwortung für den Pflegebereich - überwiegend kaufmännische, planerische und organisatorische Aufgaben der Pflegeeinrichtung wahrnehmen</w:t>
      </w:r>
    </w:p>
    <w:p w:rsidR="00614EEF" w:rsidRPr="00B65068" w:rsidRDefault="00614EEF" w:rsidP="009B1802">
      <w:pPr>
        <w:pStyle w:val="Listenabsatz"/>
        <w:numPr>
          <w:ilvl w:val="0"/>
          <w:numId w:val="14"/>
        </w:numPr>
        <w:rPr>
          <w:rFonts w:ascii="Arial" w:hAnsi="Arial" w:cs="Arial"/>
        </w:rPr>
      </w:pPr>
      <w:r w:rsidRPr="00B65068">
        <w:rPr>
          <w:rFonts w:ascii="Arial" w:hAnsi="Arial" w:cs="Arial"/>
          <w:i/>
        </w:rPr>
        <w:t>Haustechnischer Bereich</w:t>
      </w:r>
      <w:r w:rsidR="00070862" w:rsidRPr="00B65068">
        <w:rPr>
          <w:rFonts w:ascii="Arial" w:hAnsi="Arial" w:cs="Arial"/>
          <w:i/>
        </w:rPr>
        <w:t xml:space="preserve"> (stationär)</w:t>
      </w:r>
      <w:r w:rsidR="00F45BAB" w:rsidRPr="00B65068">
        <w:rPr>
          <w:rFonts w:ascii="Arial" w:hAnsi="Arial" w:cs="Arial"/>
          <w:i/>
        </w:rPr>
        <w:br/>
      </w:r>
      <w:r w:rsidRPr="00B65068">
        <w:rPr>
          <w:rFonts w:ascii="Arial" w:hAnsi="Arial" w:cs="Arial"/>
        </w:rPr>
        <w:t xml:space="preserve">Umfasst Hausmeistertätigkeiten oder Garten- bzw. Reparaturarbeiten </w:t>
      </w:r>
    </w:p>
    <w:p w:rsidR="00614EEF" w:rsidRPr="00B65068" w:rsidRDefault="00614EEF" w:rsidP="00E46569">
      <w:pPr>
        <w:pStyle w:val="Listenabsatz"/>
        <w:numPr>
          <w:ilvl w:val="0"/>
          <w:numId w:val="14"/>
        </w:numPr>
        <w:rPr>
          <w:rFonts w:ascii="Arial" w:hAnsi="Arial" w:cs="Arial"/>
        </w:rPr>
      </w:pPr>
      <w:r w:rsidRPr="00B65068">
        <w:rPr>
          <w:rFonts w:ascii="Arial" w:hAnsi="Arial" w:cs="Arial"/>
          <w:i/>
        </w:rPr>
        <w:t>Sonstiger Bereich</w:t>
      </w:r>
      <w:r w:rsidR="00F45BAB" w:rsidRPr="00B65068">
        <w:rPr>
          <w:rFonts w:ascii="Arial" w:hAnsi="Arial" w:cs="Arial"/>
          <w:i/>
        </w:rPr>
        <w:br/>
      </w:r>
      <w:r w:rsidRPr="00B65068">
        <w:rPr>
          <w:rFonts w:ascii="Arial" w:hAnsi="Arial" w:cs="Arial"/>
        </w:rPr>
        <w:t>Personen, die Tätigkeiten ausüben, die keiner anderen Kategorie zugeordnet werden können (z. B. Pförtnerdienst im Pflegeheim).</w:t>
      </w:r>
    </w:p>
    <w:p w:rsidR="00614EEF" w:rsidRDefault="00614EEF">
      <w:pPr>
        <w:rPr>
          <w:rFonts w:ascii="Arial" w:hAnsi="Arial" w:cs="Arial"/>
          <w:i/>
        </w:rPr>
      </w:pPr>
    </w:p>
    <w:p w:rsidR="00614EEF" w:rsidRPr="004173EF" w:rsidRDefault="004173EF">
      <w:pPr>
        <w:rPr>
          <w:rFonts w:ascii="Arial" w:hAnsi="Arial" w:cs="Arial"/>
        </w:rPr>
      </w:pPr>
      <w:r w:rsidRPr="004173EF">
        <w:rPr>
          <w:rFonts w:ascii="Arial" w:hAnsi="Arial" w:cs="Arial"/>
          <w:u w:val="single"/>
        </w:rPr>
        <w:lastRenderedPageBreak/>
        <w:t>Tätigkeitsbereiche bis 2019</w:t>
      </w:r>
      <w:r>
        <w:rPr>
          <w:rFonts w:ascii="Arial" w:hAnsi="Arial" w:cs="Arial"/>
        </w:rPr>
        <w:t xml:space="preserve"> (die Zahlen </w:t>
      </w:r>
      <w:r w:rsidR="0038089F">
        <w:rPr>
          <w:rFonts w:ascii="Arial" w:hAnsi="Arial" w:cs="Arial"/>
        </w:rPr>
        <w:t>sind trotz zum Teil gleichlautender Kategorien mit den Daten ab 2021 n</w:t>
      </w:r>
      <w:bookmarkStart w:id="0" w:name="_GoBack"/>
      <w:bookmarkEnd w:id="0"/>
      <w:r>
        <w:rPr>
          <w:rFonts w:ascii="Arial" w:hAnsi="Arial" w:cs="Arial"/>
        </w:rPr>
        <w:t>ur bedingt vergleichbar):</w:t>
      </w:r>
    </w:p>
    <w:p w:rsidR="004173EF" w:rsidRPr="004173EF" w:rsidRDefault="004173EF" w:rsidP="004173EF">
      <w:pPr>
        <w:pStyle w:val="Listenabsatz"/>
        <w:numPr>
          <w:ilvl w:val="0"/>
          <w:numId w:val="15"/>
        </w:numPr>
        <w:rPr>
          <w:rFonts w:ascii="Arial" w:hAnsi="Arial" w:cs="Arial"/>
        </w:rPr>
      </w:pPr>
      <w:r w:rsidRPr="004173EF">
        <w:rPr>
          <w:rFonts w:ascii="Arial" w:hAnsi="Arial" w:cs="Arial"/>
          <w:i/>
        </w:rPr>
        <w:t>Pflegedienstleitung (ambulant)</w:t>
      </w:r>
      <w:r w:rsidRPr="004173EF">
        <w:rPr>
          <w:rFonts w:ascii="Arial" w:hAnsi="Arial" w:cs="Arial"/>
        </w:rPr>
        <w:br/>
        <w:t>Wahrnehmung von Aufgaben, die mit der Übernahme der pflegerischen Gesamtverantwortung in einer ambulanten Pflegeeinrichtung zwingend verbunden sind.</w:t>
      </w:r>
    </w:p>
    <w:p w:rsidR="004173EF" w:rsidRPr="004173EF" w:rsidRDefault="004173EF" w:rsidP="004173EF">
      <w:pPr>
        <w:pStyle w:val="Listenabsatz"/>
        <w:numPr>
          <w:ilvl w:val="0"/>
          <w:numId w:val="15"/>
        </w:numPr>
        <w:rPr>
          <w:rFonts w:ascii="Arial" w:hAnsi="Arial" w:cs="Arial"/>
        </w:rPr>
      </w:pPr>
      <w:r w:rsidRPr="004173EF">
        <w:rPr>
          <w:rFonts w:ascii="Arial" w:hAnsi="Arial" w:cs="Arial"/>
          <w:i/>
        </w:rPr>
        <w:t>Pflege und Betreuung (stationär)</w:t>
      </w:r>
      <w:r w:rsidRPr="004173EF">
        <w:rPr>
          <w:rFonts w:ascii="Arial" w:hAnsi="Arial" w:cs="Arial"/>
        </w:rPr>
        <w:br/>
        <w:t>Teilweise oder vollständige Übernahme von Verrichtungen des täglichen Lebensablaufs sowie die Beaufsichtigung bzw. Anleitung zur eigenständigen Übernahme dieser Verrichtungen durch den Pflegebedürftigen. Hierzu gehört auch die Wahrnehmung von Aufgaben, die mit der Übernahme der pflegerischen Gesamtverantwortung in einer Pflegeeinrichtung zwingend verbunden ist sowie die medizinische Behandlungspflege.</w:t>
      </w:r>
    </w:p>
    <w:p w:rsidR="004173EF" w:rsidRPr="004173EF" w:rsidRDefault="004173EF" w:rsidP="004173EF">
      <w:pPr>
        <w:pStyle w:val="Listenabsatz"/>
        <w:numPr>
          <w:ilvl w:val="0"/>
          <w:numId w:val="15"/>
        </w:numPr>
        <w:rPr>
          <w:rFonts w:ascii="Arial" w:hAnsi="Arial" w:cs="Arial"/>
        </w:rPr>
      </w:pPr>
      <w:r w:rsidRPr="004173EF">
        <w:rPr>
          <w:rFonts w:ascii="Arial" w:hAnsi="Arial" w:cs="Arial"/>
          <w:i/>
        </w:rPr>
        <w:t>Grundpflege (ambulant)</w:t>
      </w:r>
      <w:r w:rsidRPr="004173EF">
        <w:rPr>
          <w:rFonts w:ascii="Arial" w:hAnsi="Arial" w:cs="Arial"/>
        </w:rPr>
        <w:br/>
        <w:t>Überwiegende Hilfe bei den regelmäßig wiederkehrenden gewöhnlichen Verrichtungen des täglichen Lebens wie Ernährung, Körperpflege und Mobilität.</w:t>
      </w:r>
    </w:p>
    <w:p w:rsidR="004173EF" w:rsidRPr="004173EF" w:rsidRDefault="004173EF" w:rsidP="004173EF">
      <w:pPr>
        <w:pStyle w:val="Listenabsatz"/>
        <w:numPr>
          <w:ilvl w:val="0"/>
          <w:numId w:val="15"/>
        </w:numPr>
        <w:rPr>
          <w:rFonts w:ascii="Arial" w:hAnsi="Arial" w:cs="Arial"/>
        </w:rPr>
      </w:pPr>
      <w:r w:rsidRPr="004173EF">
        <w:rPr>
          <w:rFonts w:ascii="Arial" w:hAnsi="Arial" w:cs="Arial"/>
          <w:i/>
        </w:rPr>
        <w:t>Soziale Betreuung (stationär)</w:t>
      </w:r>
      <w:r w:rsidRPr="004173EF">
        <w:rPr>
          <w:rFonts w:ascii="Arial" w:hAnsi="Arial" w:cs="Arial"/>
        </w:rPr>
        <w:br/>
        <w:t>Gespräche mit dem Pflegebedürftigen sowie Beratung und Hilfe bei seinen persönlichen, seelischen Problemen.</w:t>
      </w:r>
    </w:p>
    <w:p w:rsidR="004173EF" w:rsidRPr="004173EF" w:rsidRDefault="004173EF" w:rsidP="004173EF">
      <w:pPr>
        <w:pStyle w:val="Listenabsatz"/>
        <w:numPr>
          <w:ilvl w:val="0"/>
          <w:numId w:val="15"/>
        </w:numPr>
        <w:rPr>
          <w:rFonts w:ascii="Arial" w:hAnsi="Arial" w:cs="Arial"/>
        </w:rPr>
      </w:pPr>
      <w:r w:rsidRPr="004173EF">
        <w:rPr>
          <w:rFonts w:ascii="Arial" w:hAnsi="Arial" w:cs="Arial"/>
          <w:i/>
        </w:rPr>
        <w:t>Hauswirtschaftliche Versorgung (ambulant)</w:t>
      </w:r>
      <w:r w:rsidRPr="004173EF">
        <w:rPr>
          <w:rFonts w:ascii="Arial" w:hAnsi="Arial" w:cs="Arial"/>
        </w:rPr>
        <w:br/>
        <w:t>Einkaufen, Kochen und Spülen, Reinigen und Beheizen der Wohnungen von Pflegebedürftigen sowie Wechseln und Waschen ihrer Kleidung bzw. Wäsche.</w:t>
      </w:r>
    </w:p>
    <w:p w:rsidR="004173EF" w:rsidRPr="004173EF" w:rsidRDefault="004173EF" w:rsidP="004173EF">
      <w:pPr>
        <w:pStyle w:val="Listenabsatz"/>
        <w:numPr>
          <w:ilvl w:val="0"/>
          <w:numId w:val="15"/>
        </w:numPr>
        <w:rPr>
          <w:rFonts w:ascii="Arial" w:hAnsi="Arial" w:cs="Arial"/>
        </w:rPr>
      </w:pPr>
      <w:r w:rsidRPr="004173EF">
        <w:rPr>
          <w:rFonts w:ascii="Arial" w:hAnsi="Arial" w:cs="Arial"/>
          <w:i/>
        </w:rPr>
        <w:t>Hauswirtschaft (stationär)</w:t>
      </w:r>
      <w:r w:rsidRPr="004173EF">
        <w:rPr>
          <w:rFonts w:ascii="Arial" w:hAnsi="Arial" w:cs="Arial"/>
        </w:rPr>
        <w:br/>
        <w:t>Hierzu zählen z. B. Reinigungsarbeiten oder die Vorbereitung von Mahlzeiten, während der haustechnische Bereich Hausmeistertätigkeiten oder Garten- bzw. Reparaturarbeiten umfasst.</w:t>
      </w:r>
    </w:p>
    <w:p w:rsidR="004173EF" w:rsidRPr="004173EF" w:rsidRDefault="004173EF" w:rsidP="004173EF">
      <w:pPr>
        <w:pStyle w:val="Listenabsatz"/>
        <w:numPr>
          <w:ilvl w:val="0"/>
          <w:numId w:val="15"/>
        </w:numPr>
        <w:rPr>
          <w:rFonts w:ascii="Arial" w:hAnsi="Arial" w:cs="Arial"/>
        </w:rPr>
      </w:pPr>
      <w:r w:rsidRPr="004173EF">
        <w:rPr>
          <w:rFonts w:ascii="Arial" w:hAnsi="Arial" w:cs="Arial"/>
          <w:i/>
        </w:rPr>
        <w:t xml:space="preserve">Zum Sonstigen Bereich (ambulant und stationär) </w:t>
      </w:r>
      <w:r w:rsidRPr="004173EF">
        <w:rPr>
          <w:rFonts w:ascii="Arial" w:hAnsi="Arial" w:cs="Arial"/>
        </w:rPr>
        <w:t>zählen:</w:t>
      </w:r>
    </w:p>
    <w:p w:rsidR="004173EF" w:rsidRPr="004173EF" w:rsidRDefault="004173EF" w:rsidP="004173EF">
      <w:pPr>
        <w:pStyle w:val="Listenabsatz"/>
        <w:numPr>
          <w:ilvl w:val="0"/>
          <w:numId w:val="15"/>
        </w:numPr>
        <w:rPr>
          <w:rFonts w:ascii="Arial" w:hAnsi="Arial" w:cs="Arial"/>
        </w:rPr>
      </w:pPr>
      <w:r w:rsidRPr="004173EF">
        <w:rPr>
          <w:rFonts w:ascii="Arial" w:hAnsi="Arial" w:cs="Arial"/>
        </w:rPr>
        <w:t>Personen der Verwaltung und Geschäftsführung, die - mit Ausnahme der Verantwortung für den Pflegebereich - überwiegend kaufmännische, planerische und organisatorische Aufgaben der Pflegeeinrichtung wahrnehmen,</w:t>
      </w:r>
    </w:p>
    <w:p w:rsidR="004173EF" w:rsidRPr="004173EF" w:rsidRDefault="004173EF" w:rsidP="004173EF">
      <w:pPr>
        <w:pStyle w:val="Listenabsatz"/>
        <w:numPr>
          <w:ilvl w:val="0"/>
          <w:numId w:val="15"/>
        </w:numPr>
        <w:rPr>
          <w:rFonts w:ascii="Arial" w:hAnsi="Arial" w:cs="Arial"/>
        </w:rPr>
      </w:pPr>
      <w:r w:rsidRPr="004173EF">
        <w:rPr>
          <w:rFonts w:ascii="Arial" w:hAnsi="Arial" w:cs="Arial"/>
        </w:rPr>
        <w:t>sowie Personen, die Tätigkeiten ausüben, die keiner anderen Kategorie zugeordnet werden können (z. B. Pförtnerdienst im Pflegeheim oder überwiegend haustechnische Arbeiten im Pflegeheim).</w:t>
      </w:r>
    </w:p>
    <w:p w:rsidR="002C1D24" w:rsidRPr="00B65068" w:rsidRDefault="002C1D24">
      <w:pPr>
        <w:rPr>
          <w:rFonts w:ascii="Arial" w:hAnsi="Arial" w:cs="Arial"/>
        </w:rPr>
      </w:pPr>
    </w:p>
    <w:p w:rsidR="002C1D24" w:rsidRPr="00B65068" w:rsidRDefault="002C1D24">
      <w:pPr>
        <w:rPr>
          <w:rFonts w:ascii="Arial" w:hAnsi="Arial" w:cs="Arial"/>
          <w:b/>
        </w:rPr>
      </w:pPr>
      <w:r w:rsidRPr="00B65068">
        <w:rPr>
          <w:rFonts w:ascii="Arial" w:hAnsi="Arial" w:cs="Arial"/>
          <w:b/>
        </w:rPr>
        <w:t>Datenhalter</w:t>
      </w:r>
    </w:p>
    <w:p w:rsidR="002C1D24" w:rsidRPr="00B65068" w:rsidRDefault="002C1D24">
      <w:pPr>
        <w:rPr>
          <w:rFonts w:ascii="Arial" w:hAnsi="Arial" w:cs="Arial"/>
        </w:rPr>
      </w:pPr>
      <w:r w:rsidRPr="00B65068">
        <w:rPr>
          <w:rFonts w:ascii="Arial" w:hAnsi="Arial" w:cs="Arial"/>
        </w:rPr>
        <w:t>Statistische Landesämter</w:t>
      </w:r>
    </w:p>
    <w:p w:rsidR="002C1D24" w:rsidRPr="00B65068" w:rsidRDefault="002C1D24">
      <w:pPr>
        <w:rPr>
          <w:rFonts w:ascii="Arial" w:hAnsi="Arial" w:cs="Arial"/>
        </w:rPr>
      </w:pPr>
    </w:p>
    <w:p w:rsidR="002C1D24" w:rsidRPr="00B65068" w:rsidRDefault="002C1D24">
      <w:pPr>
        <w:pStyle w:val="berschrift4"/>
        <w:rPr>
          <w:rFonts w:ascii="Arial" w:hAnsi="Arial" w:cs="Arial"/>
        </w:rPr>
      </w:pPr>
      <w:r w:rsidRPr="00B65068">
        <w:rPr>
          <w:rFonts w:ascii="Arial" w:hAnsi="Arial" w:cs="Arial"/>
        </w:rPr>
        <w:t>Datenquelle</w:t>
      </w:r>
    </w:p>
    <w:p w:rsidR="002C1D24" w:rsidRPr="00B65068" w:rsidRDefault="002C1D24">
      <w:pPr>
        <w:rPr>
          <w:rFonts w:ascii="Arial" w:hAnsi="Arial" w:cs="Arial"/>
        </w:rPr>
      </w:pPr>
      <w:r w:rsidRPr="00B65068">
        <w:rPr>
          <w:rFonts w:ascii="Arial" w:hAnsi="Arial" w:cs="Arial"/>
        </w:rPr>
        <w:t>Pflegestatistik</w:t>
      </w:r>
    </w:p>
    <w:p w:rsidR="002C1D24" w:rsidRPr="00B65068" w:rsidRDefault="002C1D24">
      <w:pPr>
        <w:rPr>
          <w:rFonts w:ascii="Arial" w:hAnsi="Arial" w:cs="Arial"/>
        </w:rPr>
      </w:pPr>
    </w:p>
    <w:p w:rsidR="002C1D24" w:rsidRPr="00B65068" w:rsidRDefault="002C1D24">
      <w:pPr>
        <w:rPr>
          <w:rFonts w:ascii="Arial" w:hAnsi="Arial" w:cs="Arial"/>
          <w:b/>
        </w:rPr>
      </w:pPr>
      <w:r w:rsidRPr="00B65068">
        <w:rPr>
          <w:rFonts w:ascii="Arial" w:hAnsi="Arial" w:cs="Arial"/>
          <w:b/>
        </w:rPr>
        <w:t>Periodizität</w:t>
      </w:r>
    </w:p>
    <w:p w:rsidR="002C1D24" w:rsidRPr="00B65068" w:rsidRDefault="002C1D24">
      <w:pPr>
        <w:rPr>
          <w:rFonts w:ascii="Arial" w:hAnsi="Arial" w:cs="Arial"/>
        </w:rPr>
      </w:pPr>
      <w:r w:rsidRPr="00B65068">
        <w:rPr>
          <w:rFonts w:ascii="Arial" w:hAnsi="Arial" w:cs="Arial"/>
        </w:rPr>
        <w:t xml:space="preserve">Zweijährlich, </w:t>
      </w:r>
      <w:r w:rsidR="002F7C12" w:rsidRPr="00B65068">
        <w:rPr>
          <w:rFonts w:ascii="Arial" w:hAnsi="Arial" w:cs="Arial"/>
        </w:rPr>
        <w:t xml:space="preserve">ST </w:t>
      </w:r>
      <w:r w:rsidRPr="00B65068">
        <w:rPr>
          <w:rFonts w:ascii="Arial" w:hAnsi="Arial" w:cs="Arial"/>
        </w:rPr>
        <w:t>15.12.; erstmalig 1999</w:t>
      </w:r>
    </w:p>
    <w:p w:rsidR="002C1D24" w:rsidRPr="00B65068" w:rsidRDefault="002C1D24">
      <w:pPr>
        <w:rPr>
          <w:rFonts w:ascii="Arial" w:hAnsi="Arial" w:cs="Arial"/>
          <w:b/>
        </w:rPr>
      </w:pPr>
    </w:p>
    <w:p w:rsidR="002C1D24" w:rsidRPr="00B65068" w:rsidRDefault="002C1D24">
      <w:pPr>
        <w:rPr>
          <w:rFonts w:ascii="Arial" w:hAnsi="Arial" w:cs="Arial"/>
          <w:b/>
        </w:rPr>
      </w:pPr>
      <w:r w:rsidRPr="00B65068">
        <w:rPr>
          <w:rFonts w:ascii="Arial" w:hAnsi="Arial" w:cs="Arial"/>
          <w:b/>
        </w:rPr>
        <w:t>Validität</w:t>
      </w:r>
    </w:p>
    <w:p w:rsidR="002C1D24" w:rsidRPr="00B65068" w:rsidRDefault="002F7C12">
      <w:pPr>
        <w:rPr>
          <w:rFonts w:ascii="Arial" w:hAnsi="Arial" w:cs="Arial"/>
        </w:rPr>
      </w:pPr>
      <w:r w:rsidRPr="00B65068">
        <w:rPr>
          <w:rFonts w:ascii="Arial" w:hAnsi="Arial" w:cs="Arial"/>
        </w:rPr>
        <w:t xml:space="preserve">Bei der Pflegestatistik handelt es sich um eine </w:t>
      </w:r>
      <w:r w:rsidR="008B3F74" w:rsidRPr="00B65068">
        <w:rPr>
          <w:rFonts w:ascii="Arial" w:hAnsi="Arial" w:cs="Arial"/>
        </w:rPr>
        <w:t>Voll</w:t>
      </w:r>
      <w:r w:rsidRPr="00B65068">
        <w:rPr>
          <w:rFonts w:ascii="Arial" w:hAnsi="Arial" w:cs="Arial"/>
        </w:rPr>
        <w:t>erhebung mit Auskunftspflicht. Schwierigkeiten bei dem Erreichen einer hohen Datenqualität kann es dadurch geben, dass es sich um eine Datenerhebung bei einer Vielzahl von Auskunftspflichtigen handelt, die sich durch das Ausscheiden oder durch das Gründen neuer Pflegeeinrichtungen ständig verändert.</w:t>
      </w:r>
      <w:r w:rsidR="002C1D24" w:rsidRPr="00B65068">
        <w:rPr>
          <w:rFonts w:ascii="Arial" w:hAnsi="Arial" w:cs="Arial"/>
        </w:rPr>
        <w:t xml:space="preserve"> </w:t>
      </w:r>
    </w:p>
    <w:p w:rsidR="002C1D24" w:rsidRPr="00B65068" w:rsidRDefault="002C1D24">
      <w:pPr>
        <w:rPr>
          <w:rFonts w:ascii="Arial" w:hAnsi="Arial" w:cs="Arial"/>
        </w:rPr>
      </w:pPr>
    </w:p>
    <w:p w:rsidR="003E21B2" w:rsidRPr="00B65068" w:rsidRDefault="003E21B2">
      <w:pPr>
        <w:rPr>
          <w:rFonts w:ascii="Arial" w:hAnsi="Arial" w:cs="Arial"/>
        </w:rPr>
      </w:pPr>
    </w:p>
    <w:p w:rsidR="002C1D24" w:rsidRPr="00B65068" w:rsidRDefault="002C1D24">
      <w:pPr>
        <w:rPr>
          <w:rFonts w:ascii="Arial" w:hAnsi="Arial" w:cs="Arial"/>
          <w:b/>
        </w:rPr>
      </w:pPr>
      <w:r w:rsidRPr="00B65068">
        <w:rPr>
          <w:rFonts w:ascii="Arial" w:hAnsi="Arial" w:cs="Arial"/>
          <w:b/>
        </w:rPr>
        <w:t>Kommentar</w:t>
      </w:r>
    </w:p>
    <w:p w:rsidR="002C1D24" w:rsidRPr="00B65068" w:rsidRDefault="002C1D24">
      <w:pPr>
        <w:rPr>
          <w:rFonts w:ascii="Arial" w:hAnsi="Arial" w:cs="Arial"/>
        </w:rPr>
      </w:pPr>
      <w:r w:rsidRPr="00B65068">
        <w:rPr>
          <w:rFonts w:ascii="Arial" w:hAnsi="Arial" w:cs="Arial"/>
        </w:rPr>
        <w:t>Die verwendeten Zahlen sind Stichtagszahlen der Pflegeeinrichtungen nach SGB XI zum 15.12. des Berichtsjahres.</w:t>
      </w:r>
    </w:p>
    <w:p w:rsidR="00460274" w:rsidRPr="00B65068" w:rsidRDefault="00460274" w:rsidP="00460274">
      <w:pPr>
        <w:rPr>
          <w:rFonts w:ascii="Arial" w:hAnsi="Arial" w:cs="Arial"/>
        </w:rPr>
      </w:pPr>
      <w:r w:rsidRPr="00B65068">
        <w:rPr>
          <w:rFonts w:ascii="Arial" w:hAnsi="Arial" w:cs="Arial"/>
        </w:rPr>
        <w:t>Ab 2019 werden Personen mit der Geschlechtsangabe „divers“ bzw. „ohne Angabe“ (Geschlecht nach §22 Abs. 3 PStG) zufällig auf „männlich“ oder „weiblich“ verteilt.</w:t>
      </w:r>
      <w:r w:rsidR="00F45BAB" w:rsidRPr="00B65068">
        <w:rPr>
          <w:rFonts w:ascii="Arial" w:hAnsi="Arial" w:cs="Arial"/>
        </w:rPr>
        <w:br/>
        <w:t xml:space="preserve">Ab 2021 haben sich die Tätigkeitsbereiche zum Teil geändert, daher wurde der Indikator angepasst. </w:t>
      </w:r>
      <w:r w:rsidR="00F45BAB" w:rsidRPr="004173EF">
        <w:rPr>
          <w:rFonts w:ascii="Arial" w:hAnsi="Arial" w:cs="Arial"/>
          <w:b/>
          <w:i/>
        </w:rPr>
        <w:t>Die Zahlen ab 2021 sind nur bedingt mit den Vorjahren vergleichbar</w:t>
      </w:r>
      <w:r w:rsidR="004173EF" w:rsidRPr="004173EF">
        <w:rPr>
          <w:rFonts w:ascii="Arial" w:hAnsi="Arial" w:cs="Arial"/>
          <w:b/>
          <w:i/>
        </w:rPr>
        <w:t>.</w:t>
      </w:r>
    </w:p>
    <w:p w:rsidR="002C1D24" w:rsidRPr="00B65068" w:rsidRDefault="002C1D24">
      <w:pPr>
        <w:rPr>
          <w:rFonts w:ascii="Arial" w:hAnsi="Arial" w:cs="Arial"/>
        </w:rPr>
      </w:pPr>
      <w:r w:rsidRPr="00B65068">
        <w:rPr>
          <w:rFonts w:ascii="Arial" w:hAnsi="Arial" w:cs="Arial"/>
        </w:rPr>
        <w:t>Der vorliegende Indikator ist ein Prozessindikator.</w:t>
      </w:r>
    </w:p>
    <w:p w:rsidR="002C1D24" w:rsidRPr="00B65068" w:rsidRDefault="002C1D24">
      <w:pPr>
        <w:rPr>
          <w:rFonts w:ascii="Arial" w:hAnsi="Arial" w:cs="Arial"/>
        </w:rPr>
      </w:pPr>
    </w:p>
    <w:p w:rsidR="002C1D24" w:rsidRPr="00B65068" w:rsidRDefault="002C1D24">
      <w:pPr>
        <w:pStyle w:val="berschrift4"/>
        <w:rPr>
          <w:rFonts w:ascii="Arial" w:hAnsi="Arial" w:cs="Arial"/>
        </w:rPr>
      </w:pPr>
      <w:r w:rsidRPr="00B65068">
        <w:rPr>
          <w:rFonts w:ascii="Arial" w:hAnsi="Arial" w:cs="Arial"/>
        </w:rPr>
        <w:t>Vergleichbarkeit</w:t>
      </w:r>
    </w:p>
    <w:p w:rsidR="002C1D24" w:rsidRPr="00B65068" w:rsidRDefault="002C1D24">
      <w:pPr>
        <w:rPr>
          <w:rFonts w:ascii="Arial" w:hAnsi="Arial" w:cs="Arial"/>
        </w:rPr>
      </w:pPr>
      <w:r w:rsidRPr="00B65068">
        <w:rPr>
          <w:rFonts w:ascii="Arial" w:hAnsi="Arial" w:cs="Arial"/>
        </w:rPr>
        <w:t>Es gibt keine vergleichbaren WHO-, OECD- und vorgesehenen EU-Indikatoren.</w:t>
      </w:r>
    </w:p>
    <w:p w:rsidR="002F7C12" w:rsidRPr="00B65068" w:rsidRDefault="002F7C12">
      <w:pPr>
        <w:rPr>
          <w:rFonts w:ascii="Arial" w:hAnsi="Arial" w:cs="Arial"/>
          <w:b/>
        </w:rPr>
      </w:pPr>
    </w:p>
    <w:p w:rsidR="002C1D24" w:rsidRPr="00B65068" w:rsidRDefault="002C1D24">
      <w:pPr>
        <w:rPr>
          <w:rFonts w:ascii="Arial" w:hAnsi="Arial" w:cs="Arial"/>
          <w:b/>
        </w:rPr>
      </w:pPr>
      <w:r w:rsidRPr="00B65068">
        <w:rPr>
          <w:rFonts w:ascii="Arial" w:hAnsi="Arial" w:cs="Arial"/>
          <w:b/>
        </w:rPr>
        <w:t>Originalquellen</w:t>
      </w:r>
    </w:p>
    <w:p w:rsidR="002C1D24" w:rsidRPr="00B65068" w:rsidRDefault="002C1D24">
      <w:pPr>
        <w:rPr>
          <w:rFonts w:ascii="Arial" w:hAnsi="Arial" w:cs="Arial"/>
        </w:rPr>
      </w:pPr>
      <w:r w:rsidRPr="00B65068">
        <w:rPr>
          <w:rFonts w:ascii="Arial" w:hAnsi="Arial" w:cs="Arial"/>
        </w:rPr>
        <w:t>Publikationen der Länder zu den verwendeten Datenquellen, z. B. Statistische Jahrbücher oder Publikationen zur Pflegestatistik.</w:t>
      </w:r>
    </w:p>
    <w:p w:rsidR="002F7C12" w:rsidRPr="00B65068" w:rsidRDefault="002F7C12" w:rsidP="002F7C12">
      <w:pPr>
        <w:rPr>
          <w:rFonts w:ascii="Arial" w:hAnsi="Arial" w:cs="Arial"/>
        </w:rPr>
      </w:pPr>
    </w:p>
    <w:p w:rsidR="002F7C12" w:rsidRPr="00B65068" w:rsidRDefault="002F7C12" w:rsidP="002F7C12">
      <w:pPr>
        <w:rPr>
          <w:rFonts w:ascii="Arial" w:hAnsi="Arial" w:cs="Arial"/>
          <w:b/>
        </w:rPr>
      </w:pPr>
      <w:r w:rsidRPr="00B65068">
        <w:rPr>
          <w:rFonts w:ascii="Arial" w:hAnsi="Arial" w:cs="Arial"/>
          <w:b/>
        </w:rPr>
        <w:t>Stand</w:t>
      </w:r>
    </w:p>
    <w:p w:rsidR="002F7C12" w:rsidRPr="00B65068" w:rsidRDefault="00460274" w:rsidP="002F7C12">
      <w:pPr>
        <w:rPr>
          <w:rFonts w:ascii="Arial" w:hAnsi="Arial" w:cs="Arial"/>
        </w:rPr>
      </w:pPr>
      <w:r w:rsidRPr="00B65068">
        <w:rPr>
          <w:rFonts w:ascii="Arial" w:hAnsi="Arial" w:cs="Arial"/>
        </w:rPr>
        <w:t>Februar 202</w:t>
      </w:r>
      <w:r w:rsidR="00F45BAB" w:rsidRPr="00B65068">
        <w:rPr>
          <w:rFonts w:ascii="Arial" w:hAnsi="Arial" w:cs="Arial"/>
        </w:rPr>
        <w:t>3</w:t>
      </w:r>
    </w:p>
    <w:p w:rsidR="002C1D24" w:rsidRPr="00B65068" w:rsidRDefault="002C1D24">
      <w:pPr>
        <w:rPr>
          <w:rFonts w:ascii="Arial" w:hAnsi="Arial" w:cs="Arial"/>
          <w:b/>
        </w:rPr>
      </w:pPr>
    </w:p>
    <w:sectPr w:rsidR="002C1D24" w:rsidRPr="00B65068">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C94" w:rsidRDefault="00137C94" w:rsidP="00137C94">
      <w:r>
        <w:separator/>
      </w:r>
    </w:p>
  </w:endnote>
  <w:endnote w:type="continuationSeparator" w:id="0">
    <w:p w:rsidR="00137C94" w:rsidRDefault="00137C94" w:rsidP="0013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94" w:rsidRDefault="00137C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94" w:rsidRDefault="00137C9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94" w:rsidRDefault="00137C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C94" w:rsidRDefault="00137C94" w:rsidP="00137C94">
      <w:r>
        <w:separator/>
      </w:r>
    </w:p>
  </w:footnote>
  <w:footnote w:type="continuationSeparator" w:id="0">
    <w:p w:rsidR="00137C94" w:rsidRDefault="00137C94" w:rsidP="0013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94" w:rsidRDefault="00137C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94" w:rsidRDefault="00137C9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94" w:rsidRDefault="00137C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0528"/>
    <w:multiLevelType w:val="hybridMultilevel"/>
    <w:tmpl w:val="DFF8C976"/>
    <w:lvl w:ilvl="0" w:tplc="A4666308">
      <w:start w:val="1"/>
      <w:numFmt w:val="bullet"/>
      <w:lvlText w:val=""/>
      <w:lvlJc w:val="left"/>
      <w:pPr>
        <w:tabs>
          <w:tab w:val="num" w:pos="720"/>
        </w:tabs>
        <w:ind w:left="720" w:hanging="360"/>
      </w:pPr>
      <w:rPr>
        <w:rFonts w:ascii="Symbol" w:hAnsi="Symbol" w:hint="default"/>
      </w:rPr>
    </w:lvl>
    <w:lvl w:ilvl="1" w:tplc="C2329422" w:tentative="1">
      <w:start w:val="1"/>
      <w:numFmt w:val="bullet"/>
      <w:lvlText w:val="o"/>
      <w:lvlJc w:val="left"/>
      <w:pPr>
        <w:tabs>
          <w:tab w:val="num" w:pos="1440"/>
        </w:tabs>
        <w:ind w:left="1440" w:hanging="360"/>
      </w:pPr>
      <w:rPr>
        <w:rFonts w:ascii="Courier New" w:hAnsi="Courier New" w:hint="default"/>
      </w:rPr>
    </w:lvl>
    <w:lvl w:ilvl="2" w:tplc="69B0ECB4" w:tentative="1">
      <w:start w:val="1"/>
      <w:numFmt w:val="bullet"/>
      <w:lvlText w:val=""/>
      <w:lvlJc w:val="left"/>
      <w:pPr>
        <w:tabs>
          <w:tab w:val="num" w:pos="2160"/>
        </w:tabs>
        <w:ind w:left="2160" w:hanging="360"/>
      </w:pPr>
      <w:rPr>
        <w:rFonts w:ascii="Wingdings" w:hAnsi="Wingdings" w:hint="default"/>
      </w:rPr>
    </w:lvl>
    <w:lvl w:ilvl="3" w:tplc="7DC6A4C8" w:tentative="1">
      <w:start w:val="1"/>
      <w:numFmt w:val="bullet"/>
      <w:lvlText w:val=""/>
      <w:lvlJc w:val="left"/>
      <w:pPr>
        <w:tabs>
          <w:tab w:val="num" w:pos="2880"/>
        </w:tabs>
        <w:ind w:left="2880" w:hanging="360"/>
      </w:pPr>
      <w:rPr>
        <w:rFonts w:ascii="Symbol" w:hAnsi="Symbol" w:hint="default"/>
      </w:rPr>
    </w:lvl>
    <w:lvl w:ilvl="4" w:tplc="F728720A" w:tentative="1">
      <w:start w:val="1"/>
      <w:numFmt w:val="bullet"/>
      <w:lvlText w:val="o"/>
      <w:lvlJc w:val="left"/>
      <w:pPr>
        <w:tabs>
          <w:tab w:val="num" w:pos="3600"/>
        </w:tabs>
        <w:ind w:left="3600" w:hanging="360"/>
      </w:pPr>
      <w:rPr>
        <w:rFonts w:ascii="Courier New" w:hAnsi="Courier New" w:hint="default"/>
      </w:rPr>
    </w:lvl>
    <w:lvl w:ilvl="5" w:tplc="4A365D44" w:tentative="1">
      <w:start w:val="1"/>
      <w:numFmt w:val="bullet"/>
      <w:lvlText w:val=""/>
      <w:lvlJc w:val="left"/>
      <w:pPr>
        <w:tabs>
          <w:tab w:val="num" w:pos="4320"/>
        </w:tabs>
        <w:ind w:left="4320" w:hanging="360"/>
      </w:pPr>
      <w:rPr>
        <w:rFonts w:ascii="Wingdings" w:hAnsi="Wingdings" w:hint="default"/>
      </w:rPr>
    </w:lvl>
    <w:lvl w:ilvl="6" w:tplc="84529CD8" w:tentative="1">
      <w:start w:val="1"/>
      <w:numFmt w:val="bullet"/>
      <w:lvlText w:val=""/>
      <w:lvlJc w:val="left"/>
      <w:pPr>
        <w:tabs>
          <w:tab w:val="num" w:pos="5040"/>
        </w:tabs>
        <w:ind w:left="5040" w:hanging="360"/>
      </w:pPr>
      <w:rPr>
        <w:rFonts w:ascii="Symbol" w:hAnsi="Symbol" w:hint="default"/>
      </w:rPr>
    </w:lvl>
    <w:lvl w:ilvl="7" w:tplc="A9FEE0FC" w:tentative="1">
      <w:start w:val="1"/>
      <w:numFmt w:val="bullet"/>
      <w:lvlText w:val="o"/>
      <w:lvlJc w:val="left"/>
      <w:pPr>
        <w:tabs>
          <w:tab w:val="num" w:pos="5760"/>
        </w:tabs>
        <w:ind w:left="5760" w:hanging="360"/>
      </w:pPr>
      <w:rPr>
        <w:rFonts w:ascii="Courier New" w:hAnsi="Courier New" w:hint="default"/>
      </w:rPr>
    </w:lvl>
    <w:lvl w:ilvl="8" w:tplc="AC3271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16DC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B04C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167016"/>
    <w:multiLevelType w:val="hybridMultilevel"/>
    <w:tmpl w:val="96A6E0E0"/>
    <w:lvl w:ilvl="0" w:tplc="32488020">
      <w:start w:val="1"/>
      <w:numFmt w:val="bullet"/>
      <w:lvlText w:val=""/>
      <w:lvlJc w:val="left"/>
      <w:pPr>
        <w:tabs>
          <w:tab w:val="num" w:pos="1080"/>
        </w:tabs>
        <w:ind w:left="1080" w:hanging="360"/>
      </w:pPr>
      <w:rPr>
        <w:rFonts w:ascii="Symbol" w:hAnsi="Symbol" w:hint="default"/>
      </w:rPr>
    </w:lvl>
    <w:lvl w:ilvl="1" w:tplc="BD5E5D52" w:tentative="1">
      <w:start w:val="1"/>
      <w:numFmt w:val="bullet"/>
      <w:lvlText w:val="o"/>
      <w:lvlJc w:val="left"/>
      <w:pPr>
        <w:tabs>
          <w:tab w:val="num" w:pos="1800"/>
        </w:tabs>
        <w:ind w:left="1800" w:hanging="360"/>
      </w:pPr>
      <w:rPr>
        <w:rFonts w:ascii="Courier New" w:hAnsi="Courier New" w:hint="default"/>
      </w:rPr>
    </w:lvl>
    <w:lvl w:ilvl="2" w:tplc="A0FEAB36" w:tentative="1">
      <w:start w:val="1"/>
      <w:numFmt w:val="bullet"/>
      <w:lvlText w:val=""/>
      <w:lvlJc w:val="left"/>
      <w:pPr>
        <w:tabs>
          <w:tab w:val="num" w:pos="2520"/>
        </w:tabs>
        <w:ind w:left="2520" w:hanging="360"/>
      </w:pPr>
      <w:rPr>
        <w:rFonts w:ascii="Wingdings" w:hAnsi="Wingdings" w:hint="default"/>
      </w:rPr>
    </w:lvl>
    <w:lvl w:ilvl="3" w:tplc="B100E948" w:tentative="1">
      <w:start w:val="1"/>
      <w:numFmt w:val="bullet"/>
      <w:lvlText w:val=""/>
      <w:lvlJc w:val="left"/>
      <w:pPr>
        <w:tabs>
          <w:tab w:val="num" w:pos="3240"/>
        </w:tabs>
        <w:ind w:left="3240" w:hanging="360"/>
      </w:pPr>
      <w:rPr>
        <w:rFonts w:ascii="Symbol" w:hAnsi="Symbol" w:hint="default"/>
      </w:rPr>
    </w:lvl>
    <w:lvl w:ilvl="4" w:tplc="2AC08FB6" w:tentative="1">
      <w:start w:val="1"/>
      <w:numFmt w:val="bullet"/>
      <w:lvlText w:val="o"/>
      <w:lvlJc w:val="left"/>
      <w:pPr>
        <w:tabs>
          <w:tab w:val="num" w:pos="3960"/>
        </w:tabs>
        <w:ind w:left="3960" w:hanging="360"/>
      </w:pPr>
      <w:rPr>
        <w:rFonts w:ascii="Courier New" w:hAnsi="Courier New" w:hint="default"/>
      </w:rPr>
    </w:lvl>
    <w:lvl w:ilvl="5" w:tplc="C0DE9E42" w:tentative="1">
      <w:start w:val="1"/>
      <w:numFmt w:val="bullet"/>
      <w:lvlText w:val=""/>
      <w:lvlJc w:val="left"/>
      <w:pPr>
        <w:tabs>
          <w:tab w:val="num" w:pos="4680"/>
        </w:tabs>
        <w:ind w:left="4680" w:hanging="360"/>
      </w:pPr>
      <w:rPr>
        <w:rFonts w:ascii="Wingdings" w:hAnsi="Wingdings" w:hint="default"/>
      </w:rPr>
    </w:lvl>
    <w:lvl w:ilvl="6" w:tplc="D62CD2F2" w:tentative="1">
      <w:start w:val="1"/>
      <w:numFmt w:val="bullet"/>
      <w:lvlText w:val=""/>
      <w:lvlJc w:val="left"/>
      <w:pPr>
        <w:tabs>
          <w:tab w:val="num" w:pos="5400"/>
        </w:tabs>
        <w:ind w:left="5400" w:hanging="360"/>
      </w:pPr>
      <w:rPr>
        <w:rFonts w:ascii="Symbol" w:hAnsi="Symbol" w:hint="default"/>
      </w:rPr>
    </w:lvl>
    <w:lvl w:ilvl="7" w:tplc="315E3612" w:tentative="1">
      <w:start w:val="1"/>
      <w:numFmt w:val="bullet"/>
      <w:lvlText w:val="o"/>
      <w:lvlJc w:val="left"/>
      <w:pPr>
        <w:tabs>
          <w:tab w:val="num" w:pos="6120"/>
        </w:tabs>
        <w:ind w:left="6120" w:hanging="360"/>
      </w:pPr>
      <w:rPr>
        <w:rFonts w:ascii="Courier New" w:hAnsi="Courier New" w:hint="default"/>
      </w:rPr>
    </w:lvl>
    <w:lvl w:ilvl="8" w:tplc="BCF477F2"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153520"/>
    <w:multiLevelType w:val="singleLevel"/>
    <w:tmpl w:val="F718E9BE"/>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270D48F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F97EB3"/>
    <w:multiLevelType w:val="hybridMultilevel"/>
    <w:tmpl w:val="CFC6890A"/>
    <w:lvl w:ilvl="0" w:tplc="4FD4D324">
      <w:start w:val="1"/>
      <w:numFmt w:val="bullet"/>
      <w:lvlText w:val=""/>
      <w:lvlJc w:val="left"/>
      <w:pPr>
        <w:tabs>
          <w:tab w:val="num" w:pos="1080"/>
        </w:tabs>
        <w:ind w:left="1080" w:hanging="360"/>
      </w:pPr>
      <w:rPr>
        <w:rFonts w:ascii="Symbol" w:hAnsi="Symbol" w:hint="default"/>
      </w:rPr>
    </w:lvl>
    <w:lvl w:ilvl="1" w:tplc="B6045834" w:tentative="1">
      <w:start w:val="1"/>
      <w:numFmt w:val="bullet"/>
      <w:lvlText w:val="o"/>
      <w:lvlJc w:val="left"/>
      <w:pPr>
        <w:tabs>
          <w:tab w:val="num" w:pos="1800"/>
        </w:tabs>
        <w:ind w:left="1800" w:hanging="360"/>
      </w:pPr>
      <w:rPr>
        <w:rFonts w:ascii="Courier New" w:hAnsi="Courier New" w:hint="default"/>
      </w:rPr>
    </w:lvl>
    <w:lvl w:ilvl="2" w:tplc="3C96D536" w:tentative="1">
      <w:start w:val="1"/>
      <w:numFmt w:val="bullet"/>
      <w:lvlText w:val=""/>
      <w:lvlJc w:val="left"/>
      <w:pPr>
        <w:tabs>
          <w:tab w:val="num" w:pos="2520"/>
        </w:tabs>
        <w:ind w:left="2520" w:hanging="360"/>
      </w:pPr>
      <w:rPr>
        <w:rFonts w:ascii="Wingdings" w:hAnsi="Wingdings" w:hint="default"/>
      </w:rPr>
    </w:lvl>
    <w:lvl w:ilvl="3" w:tplc="FFDE799C" w:tentative="1">
      <w:start w:val="1"/>
      <w:numFmt w:val="bullet"/>
      <w:lvlText w:val=""/>
      <w:lvlJc w:val="left"/>
      <w:pPr>
        <w:tabs>
          <w:tab w:val="num" w:pos="3240"/>
        </w:tabs>
        <w:ind w:left="3240" w:hanging="360"/>
      </w:pPr>
      <w:rPr>
        <w:rFonts w:ascii="Symbol" w:hAnsi="Symbol" w:hint="default"/>
      </w:rPr>
    </w:lvl>
    <w:lvl w:ilvl="4" w:tplc="E2B02570" w:tentative="1">
      <w:start w:val="1"/>
      <w:numFmt w:val="bullet"/>
      <w:lvlText w:val="o"/>
      <w:lvlJc w:val="left"/>
      <w:pPr>
        <w:tabs>
          <w:tab w:val="num" w:pos="3960"/>
        </w:tabs>
        <w:ind w:left="3960" w:hanging="360"/>
      </w:pPr>
      <w:rPr>
        <w:rFonts w:ascii="Courier New" w:hAnsi="Courier New" w:hint="default"/>
      </w:rPr>
    </w:lvl>
    <w:lvl w:ilvl="5" w:tplc="84CE679A" w:tentative="1">
      <w:start w:val="1"/>
      <w:numFmt w:val="bullet"/>
      <w:lvlText w:val=""/>
      <w:lvlJc w:val="left"/>
      <w:pPr>
        <w:tabs>
          <w:tab w:val="num" w:pos="4680"/>
        </w:tabs>
        <w:ind w:left="4680" w:hanging="360"/>
      </w:pPr>
      <w:rPr>
        <w:rFonts w:ascii="Wingdings" w:hAnsi="Wingdings" w:hint="default"/>
      </w:rPr>
    </w:lvl>
    <w:lvl w:ilvl="6" w:tplc="060E7F82" w:tentative="1">
      <w:start w:val="1"/>
      <w:numFmt w:val="bullet"/>
      <w:lvlText w:val=""/>
      <w:lvlJc w:val="left"/>
      <w:pPr>
        <w:tabs>
          <w:tab w:val="num" w:pos="5400"/>
        </w:tabs>
        <w:ind w:left="5400" w:hanging="360"/>
      </w:pPr>
      <w:rPr>
        <w:rFonts w:ascii="Symbol" w:hAnsi="Symbol" w:hint="default"/>
      </w:rPr>
    </w:lvl>
    <w:lvl w:ilvl="7" w:tplc="1E608E6E" w:tentative="1">
      <w:start w:val="1"/>
      <w:numFmt w:val="bullet"/>
      <w:lvlText w:val="o"/>
      <w:lvlJc w:val="left"/>
      <w:pPr>
        <w:tabs>
          <w:tab w:val="num" w:pos="6120"/>
        </w:tabs>
        <w:ind w:left="6120" w:hanging="360"/>
      </w:pPr>
      <w:rPr>
        <w:rFonts w:ascii="Courier New" w:hAnsi="Courier New" w:hint="default"/>
      </w:rPr>
    </w:lvl>
    <w:lvl w:ilvl="8" w:tplc="B1442526"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552C15"/>
    <w:multiLevelType w:val="hybridMultilevel"/>
    <w:tmpl w:val="4F62D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BA3916"/>
    <w:multiLevelType w:val="hybridMultilevel"/>
    <w:tmpl w:val="8C425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894E0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EF3F74"/>
    <w:multiLevelType w:val="singleLevel"/>
    <w:tmpl w:val="F718E9BE"/>
    <w:lvl w:ilvl="0">
      <w:start w:val="1"/>
      <w:numFmt w:val="bullet"/>
      <w:lvlText w:val=""/>
      <w:lvlJc w:val="left"/>
      <w:pPr>
        <w:tabs>
          <w:tab w:val="num" w:pos="360"/>
        </w:tabs>
        <w:ind w:left="0" w:firstLine="0"/>
      </w:pPr>
      <w:rPr>
        <w:rFonts w:ascii="Symbol" w:hAnsi="Symbol" w:hint="default"/>
      </w:rPr>
    </w:lvl>
  </w:abstractNum>
  <w:abstractNum w:abstractNumId="11" w15:restartNumberingAfterBreak="0">
    <w:nsid w:val="5099506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B67191"/>
    <w:multiLevelType w:val="singleLevel"/>
    <w:tmpl w:val="1D72E196"/>
    <w:lvl w:ilvl="0">
      <w:start w:val="1"/>
      <w:numFmt w:val="bullet"/>
      <w:lvlText w:val=""/>
      <w:lvlJc w:val="left"/>
      <w:pPr>
        <w:tabs>
          <w:tab w:val="num" w:pos="360"/>
        </w:tabs>
        <w:ind w:left="0" w:firstLine="0"/>
      </w:pPr>
      <w:rPr>
        <w:rFonts w:ascii="Symbol" w:hAnsi="Symbol" w:hint="default"/>
        <w:spacing w:val="0"/>
        <w:position w:val="0"/>
      </w:rPr>
    </w:lvl>
  </w:abstractNum>
  <w:abstractNum w:abstractNumId="13" w15:restartNumberingAfterBreak="0">
    <w:nsid w:val="622C0376"/>
    <w:multiLevelType w:val="hybridMultilevel"/>
    <w:tmpl w:val="0A469548"/>
    <w:lvl w:ilvl="0" w:tplc="45A63CC8">
      <w:start w:val="1"/>
      <w:numFmt w:val="bullet"/>
      <w:lvlText w:val=""/>
      <w:lvlJc w:val="left"/>
      <w:pPr>
        <w:tabs>
          <w:tab w:val="num" w:pos="720"/>
        </w:tabs>
        <w:ind w:left="720" w:hanging="360"/>
      </w:pPr>
      <w:rPr>
        <w:rFonts w:ascii="Symbol" w:hAnsi="Symbol" w:hint="default"/>
      </w:rPr>
    </w:lvl>
    <w:lvl w:ilvl="1" w:tplc="2B2CA2D2" w:tentative="1">
      <w:start w:val="1"/>
      <w:numFmt w:val="bullet"/>
      <w:lvlText w:val="o"/>
      <w:lvlJc w:val="left"/>
      <w:pPr>
        <w:tabs>
          <w:tab w:val="num" w:pos="1440"/>
        </w:tabs>
        <w:ind w:left="1440" w:hanging="360"/>
      </w:pPr>
      <w:rPr>
        <w:rFonts w:ascii="Courier New" w:hAnsi="Courier New" w:hint="default"/>
      </w:rPr>
    </w:lvl>
    <w:lvl w:ilvl="2" w:tplc="FE386BCA" w:tentative="1">
      <w:start w:val="1"/>
      <w:numFmt w:val="bullet"/>
      <w:lvlText w:val=""/>
      <w:lvlJc w:val="left"/>
      <w:pPr>
        <w:tabs>
          <w:tab w:val="num" w:pos="2160"/>
        </w:tabs>
        <w:ind w:left="2160" w:hanging="360"/>
      </w:pPr>
      <w:rPr>
        <w:rFonts w:ascii="Wingdings" w:hAnsi="Wingdings" w:hint="default"/>
      </w:rPr>
    </w:lvl>
    <w:lvl w:ilvl="3" w:tplc="9EE67160" w:tentative="1">
      <w:start w:val="1"/>
      <w:numFmt w:val="bullet"/>
      <w:lvlText w:val=""/>
      <w:lvlJc w:val="left"/>
      <w:pPr>
        <w:tabs>
          <w:tab w:val="num" w:pos="2880"/>
        </w:tabs>
        <w:ind w:left="2880" w:hanging="360"/>
      </w:pPr>
      <w:rPr>
        <w:rFonts w:ascii="Symbol" w:hAnsi="Symbol" w:hint="default"/>
      </w:rPr>
    </w:lvl>
    <w:lvl w:ilvl="4" w:tplc="C98A2E20" w:tentative="1">
      <w:start w:val="1"/>
      <w:numFmt w:val="bullet"/>
      <w:lvlText w:val="o"/>
      <w:lvlJc w:val="left"/>
      <w:pPr>
        <w:tabs>
          <w:tab w:val="num" w:pos="3600"/>
        </w:tabs>
        <w:ind w:left="3600" w:hanging="360"/>
      </w:pPr>
      <w:rPr>
        <w:rFonts w:ascii="Courier New" w:hAnsi="Courier New" w:hint="default"/>
      </w:rPr>
    </w:lvl>
    <w:lvl w:ilvl="5" w:tplc="E466D234" w:tentative="1">
      <w:start w:val="1"/>
      <w:numFmt w:val="bullet"/>
      <w:lvlText w:val=""/>
      <w:lvlJc w:val="left"/>
      <w:pPr>
        <w:tabs>
          <w:tab w:val="num" w:pos="4320"/>
        </w:tabs>
        <w:ind w:left="4320" w:hanging="360"/>
      </w:pPr>
      <w:rPr>
        <w:rFonts w:ascii="Wingdings" w:hAnsi="Wingdings" w:hint="default"/>
      </w:rPr>
    </w:lvl>
    <w:lvl w:ilvl="6" w:tplc="BF1AF0E4" w:tentative="1">
      <w:start w:val="1"/>
      <w:numFmt w:val="bullet"/>
      <w:lvlText w:val=""/>
      <w:lvlJc w:val="left"/>
      <w:pPr>
        <w:tabs>
          <w:tab w:val="num" w:pos="5040"/>
        </w:tabs>
        <w:ind w:left="5040" w:hanging="360"/>
      </w:pPr>
      <w:rPr>
        <w:rFonts w:ascii="Symbol" w:hAnsi="Symbol" w:hint="default"/>
      </w:rPr>
    </w:lvl>
    <w:lvl w:ilvl="7" w:tplc="1AE083AC" w:tentative="1">
      <w:start w:val="1"/>
      <w:numFmt w:val="bullet"/>
      <w:lvlText w:val="o"/>
      <w:lvlJc w:val="left"/>
      <w:pPr>
        <w:tabs>
          <w:tab w:val="num" w:pos="5760"/>
        </w:tabs>
        <w:ind w:left="5760" w:hanging="360"/>
      </w:pPr>
      <w:rPr>
        <w:rFonts w:ascii="Courier New" w:hAnsi="Courier New" w:hint="default"/>
      </w:rPr>
    </w:lvl>
    <w:lvl w:ilvl="8" w:tplc="F6E8C0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E0071"/>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6"/>
  </w:num>
  <w:num w:numId="4">
    <w:abstractNumId w:val="13"/>
  </w:num>
  <w:num w:numId="5">
    <w:abstractNumId w:val="9"/>
  </w:num>
  <w:num w:numId="6">
    <w:abstractNumId w:val="14"/>
  </w:num>
  <w:num w:numId="7">
    <w:abstractNumId w:val="1"/>
  </w:num>
  <w:num w:numId="8">
    <w:abstractNumId w:val="11"/>
  </w:num>
  <w:num w:numId="9">
    <w:abstractNumId w:val="2"/>
  </w:num>
  <w:num w:numId="10">
    <w:abstractNumId w:val="5"/>
  </w:num>
  <w:num w:numId="11">
    <w:abstractNumId w:val="12"/>
  </w:num>
  <w:num w:numId="12">
    <w:abstractNumId w:val="4"/>
  </w:num>
  <w:num w:numId="13">
    <w:abstractNumId w:val="10"/>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o:colormenu v:ext="edit" fillcolor="black" strokecolor="black"/>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8E"/>
    <w:rsid w:val="00070862"/>
    <w:rsid w:val="00137C94"/>
    <w:rsid w:val="001530CD"/>
    <w:rsid w:val="002C1D24"/>
    <w:rsid w:val="002F7C12"/>
    <w:rsid w:val="0038089F"/>
    <w:rsid w:val="003978BB"/>
    <w:rsid w:val="003E21B2"/>
    <w:rsid w:val="004173EF"/>
    <w:rsid w:val="00457424"/>
    <w:rsid w:val="00460274"/>
    <w:rsid w:val="004B108E"/>
    <w:rsid w:val="004B713A"/>
    <w:rsid w:val="00614EEF"/>
    <w:rsid w:val="00870CAE"/>
    <w:rsid w:val="008B3F74"/>
    <w:rsid w:val="00924B07"/>
    <w:rsid w:val="00B65068"/>
    <w:rsid w:val="00BE7765"/>
    <w:rsid w:val="00D90A01"/>
    <w:rsid w:val="00F45BAB"/>
    <w:rsid w:val="00F63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enu v:ext="edit" fillcolor="black" strokecolor="black"/>
    </o:shapedefaults>
    <o:shapelayout v:ext="edit">
      <o:idmap v:ext="edit" data="1"/>
    </o:shapelayout>
  </w:shapeDefaults>
  <w:decimalSymbol w:val=","/>
  <w:listSeparator w:val=";"/>
  <w14:docId w14:val="233A60DA"/>
  <w15:chartTrackingRefBased/>
  <w15:docId w15:val="{CEAE2CBC-C135-41BD-9953-2B8FFA53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b/>
      <w:sz w:val="22"/>
    </w:rPr>
  </w:style>
  <w:style w:type="paragraph" w:styleId="berschrift2">
    <w:name w:val="heading 2"/>
    <w:basedOn w:val="Standard"/>
    <w:next w:val="Standard"/>
    <w:qFormat/>
    <w:pPr>
      <w:keepNext/>
      <w:jc w:val="both"/>
      <w:outlineLvl w:val="1"/>
    </w:pPr>
    <w:rPr>
      <w:b/>
      <w:sz w:val="22"/>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outlineLvl w:val="2"/>
    </w:pPr>
    <w:rPr>
      <w:b/>
    </w:rPr>
  </w:style>
  <w:style w:type="paragraph" w:styleId="berschrift4">
    <w:name w:val="heading 4"/>
    <w:basedOn w:val="Standard"/>
    <w:next w:val="Standard"/>
    <w:qFormat/>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2"/>
    </w:rPr>
  </w:style>
  <w:style w:type="paragraph" w:styleId="Textkrper">
    <w:name w:val="Body Text"/>
    <w:basedOn w:val="Standard"/>
    <w:pPr>
      <w:jc w:val="both"/>
    </w:pPr>
    <w:rPr>
      <w:i/>
      <w:sz w:val="22"/>
    </w:rPr>
  </w:style>
  <w:style w:type="paragraph" w:styleId="Textkrper2">
    <w:name w:val="Body Text 2"/>
    <w:basedOn w:val="Standard"/>
    <w:pPr>
      <w:jc w:val="both"/>
    </w:pPr>
    <w:rPr>
      <w:sz w:val="22"/>
    </w:rPr>
  </w:style>
  <w:style w:type="paragraph" w:styleId="Fuzeile">
    <w:name w:val="footer"/>
    <w:basedOn w:val="Standard"/>
    <w:link w:val="FuzeileZchn"/>
    <w:uiPriority w:val="99"/>
    <w:unhideWhenUsed/>
    <w:rsid w:val="00137C94"/>
    <w:pPr>
      <w:tabs>
        <w:tab w:val="center" w:pos="4536"/>
        <w:tab w:val="right" w:pos="9072"/>
      </w:tabs>
    </w:pPr>
  </w:style>
  <w:style w:type="character" w:customStyle="1" w:styleId="FuzeileZchn">
    <w:name w:val="Fußzeile Zchn"/>
    <w:basedOn w:val="Absatz-Standardschriftart"/>
    <w:link w:val="Fuzeile"/>
    <w:uiPriority w:val="99"/>
    <w:rsid w:val="00137C94"/>
  </w:style>
  <w:style w:type="paragraph" w:styleId="Listenabsatz">
    <w:name w:val="List Paragraph"/>
    <w:basedOn w:val="Standard"/>
    <w:uiPriority w:val="34"/>
    <w:qFormat/>
    <w:rsid w:val="00F45BAB"/>
    <w:pPr>
      <w:ind w:left="720"/>
      <w:contextualSpacing/>
    </w:pPr>
  </w:style>
  <w:style w:type="paragraph" w:styleId="Sprechblasentext">
    <w:name w:val="Balloon Text"/>
    <w:basedOn w:val="Standard"/>
    <w:link w:val="SprechblasentextZchn"/>
    <w:uiPriority w:val="99"/>
    <w:semiHidden/>
    <w:unhideWhenUsed/>
    <w:rsid w:val="0045742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74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8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6085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Metadatenbeschreibung</vt:lpstr>
    </vt:vector>
  </TitlesOfParts>
  <Company>loegd</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Metadatenbeschreibung</dc:title>
  <dc:subject/>
  <dc:creator>breckenk</dc:creator>
  <cp:keywords/>
  <cp:lastModifiedBy>Zollikofer, Sylvia (LGL)</cp:lastModifiedBy>
  <cp:revision>2</cp:revision>
  <cp:lastPrinted>2023-06-21T09:20:00Z</cp:lastPrinted>
  <dcterms:created xsi:type="dcterms:W3CDTF">2023-06-21T09:28:00Z</dcterms:created>
  <dcterms:modified xsi:type="dcterms:W3CDTF">2023-06-21T09:28:00Z</dcterms:modified>
</cp:coreProperties>
</file>