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F1" w:rsidRPr="00BD2588" w:rsidRDefault="00123DF1">
      <w:pPr>
        <w:rPr>
          <w:rFonts w:asciiTheme="minorHAnsi" w:hAnsiTheme="minorHAnsi" w:cstheme="minorHAnsi"/>
          <w:b/>
        </w:rPr>
      </w:pPr>
      <w:r w:rsidRPr="00BD2588">
        <w:rPr>
          <w:rFonts w:asciiTheme="minorHAnsi" w:hAnsiTheme="minorHAnsi" w:cstheme="minorHAnsi"/>
          <w:b/>
        </w:rPr>
        <w:t>Indikator 8.24 (K)</w:t>
      </w:r>
    </w:p>
    <w:p w:rsidR="00123DF1" w:rsidRPr="00BD2588" w:rsidRDefault="00123DF1">
      <w:pPr>
        <w:rPr>
          <w:rFonts w:asciiTheme="minorHAnsi" w:hAnsiTheme="minorHAnsi" w:cstheme="minorHAnsi"/>
          <w:b/>
        </w:rPr>
      </w:pPr>
      <w:r w:rsidRPr="00BD2588">
        <w:rPr>
          <w:rFonts w:asciiTheme="minorHAnsi" w:hAnsiTheme="minorHAnsi" w:cstheme="minorHAnsi"/>
          <w:b/>
        </w:rPr>
        <w:t>Personal in Pflegeeinrichtungen nach Geschlecht, Land, im Zeitvergleich</w:t>
      </w:r>
    </w:p>
    <w:p w:rsidR="00123DF1" w:rsidRPr="00BD2588" w:rsidRDefault="00123DF1">
      <w:pPr>
        <w:rPr>
          <w:rFonts w:asciiTheme="minorHAnsi" w:hAnsiTheme="minorHAnsi" w:cstheme="minorHAnsi"/>
        </w:rPr>
      </w:pPr>
    </w:p>
    <w:p w:rsidR="00123DF1" w:rsidRPr="00BD2588" w:rsidRDefault="00123DF1">
      <w:pPr>
        <w:outlineLvl w:val="0"/>
        <w:rPr>
          <w:rFonts w:asciiTheme="minorHAnsi" w:hAnsiTheme="minorHAnsi" w:cstheme="minorHAnsi"/>
          <w:b/>
        </w:rPr>
      </w:pPr>
      <w:r w:rsidRPr="00BD2588">
        <w:rPr>
          <w:rFonts w:asciiTheme="minorHAnsi" w:hAnsiTheme="minorHAnsi" w:cstheme="minorHAnsi"/>
          <w:b/>
        </w:rPr>
        <w:t>Definition</w:t>
      </w:r>
    </w:p>
    <w:p w:rsidR="00123DF1" w:rsidRPr="00BD2588" w:rsidRDefault="00123DF1">
      <w:pPr>
        <w:rPr>
          <w:rFonts w:asciiTheme="minorHAnsi" w:hAnsiTheme="minorHAnsi" w:cstheme="minorHAnsi"/>
        </w:rPr>
      </w:pPr>
      <w:r w:rsidRPr="00BD2588">
        <w:rPr>
          <w:rFonts w:asciiTheme="minorHAnsi" w:hAnsiTheme="minorHAnsi" w:cstheme="minorHAnsi"/>
        </w:rPr>
        <w:t>Auf der Basis zuverlässiger Daten über die personelle Ausstattung in den Pflegeeinrichtungen sollen Entwicklungstendenzen im Bereich der pflegerischen Versorgung unter Berücksichtigung bedarfsorientierter pflegerischer Angebote und Nachfragen rechtzeitig erkannt werden. Die Daten des Indikators 8.24 sind Ansatz für Planungsentscheidungen und ggf. für Anpassungen im Pflegeversicherungsgesetz (SGB XI).</w:t>
      </w:r>
    </w:p>
    <w:p w:rsidR="00123DF1" w:rsidRPr="00BD2588" w:rsidRDefault="00123DF1">
      <w:pPr>
        <w:rPr>
          <w:rFonts w:asciiTheme="minorHAnsi" w:hAnsiTheme="minorHAnsi" w:cstheme="minorHAnsi"/>
        </w:rPr>
      </w:pPr>
      <w:r w:rsidRPr="00BD2588">
        <w:rPr>
          <w:rFonts w:asciiTheme="minorHAnsi" w:hAnsiTheme="minorHAnsi" w:cstheme="minorHAnsi"/>
        </w:rPr>
        <w:t xml:space="preserve">Erfasst wird das Personal aller ambulanten und stationären Pflegeeinrichtungen, mit denen die Pflegekassen einen Versorgungsvertrag abgeschlossen haben oder mit denen ein Versorgungsvertrag - aufgrund der Bestandsschutzregelungen des § 73 SGB XI - als abgeschlossen gilt. </w:t>
      </w:r>
    </w:p>
    <w:p w:rsidR="00123DF1" w:rsidRPr="00BD2588" w:rsidRDefault="00123DF1">
      <w:pPr>
        <w:rPr>
          <w:rFonts w:asciiTheme="minorHAnsi" w:hAnsiTheme="minorHAnsi" w:cstheme="minorHAnsi"/>
        </w:rPr>
      </w:pPr>
      <w:r w:rsidRPr="00BD2588">
        <w:rPr>
          <w:rFonts w:asciiTheme="minorHAnsi" w:hAnsiTheme="minorHAnsi" w:cstheme="minorHAnsi"/>
        </w:rPr>
        <w:t>Pflegeeinrichtungen im Sinne der Pflegestatistik-Verordnung aufgrund des § 109 SGB V (</w:t>
      </w:r>
      <w:proofErr w:type="spellStart"/>
      <w:r w:rsidRPr="00BD2588">
        <w:rPr>
          <w:rFonts w:asciiTheme="minorHAnsi" w:hAnsiTheme="minorHAnsi" w:cstheme="minorHAnsi"/>
        </w:rPr>
        <w:t>PflegeStatV</w:t>
      </w:r>
      <w:proofErr w:type="spellEnd"/>
      <w:r w:rsidRPr="00BD2588">
        <w:rPr>
          <w:rFonts w:asciiTheme="minorHAnsi" w:hAnsiTheme="minorHAnsi" w:cstheme="minorHAnsi"/>
        </w:rPr>
        <w:t>) sind ambulante Pflegeeinrichtungen (Pflegedienste, die Pflegebedürftige in ihren Wohnungen pflegen und hauswirtschaftlich versorgen) sowie teilstationäre (Tages- und Nachtpflege) und vollstationäre (Dauer- und Kurzzeitpflege) Pflegeeinrichtungen (Pflegeheime, in denen Pflegebedürftige ganz- bzw. halbtags gepflegt werden).</w:t>
      </w:r>
    </w:p>
    <w:p w:rsidR="00123DF1" w:rsidRPr="00BD2588" w:rsidRDefault="00123DF1">
      <w:pPr>
        <w:rPr>
          <w:rFonts w:asciiTheme="minorHAnsi" w:hAnsiTheme="minorHAnsi" w:cstheme="minorHAnsi"/>
        </w:rPr>
      </w:pPr>
      <w:r w:rsidRPr="00BD2588">
        <w:rPr>
          <w:rFonts w:asciiTheme="minorHAnsi" w:hAnsiTheme="minorHAnsi" w:cstheme="minorHAnsi"/>
        </w:rPr>
        <w:t>Zum Personal in Pflegeeinrichtungen gehören alle aufgrund eines Arbeitsverhältnisses in einem Pflegeheim bzw. bei einem Pflegedienst beschäftigten Personen, die dort teilweise oder ausschließlich Leistungen nach SGB XI erbringen. Falls eine Person in mehreren selbstständig wirtschaftenden Einheiten, z. B. in einem Pflegeheim nach SGB XI und in der Krankenpflege nach SGB V tätig ist, dann wird diese Person nur entsprechend ihrem Beschäftigungsumfang der stationären Pflegeeinrichtung zugeordnet.</w:t>
      </w:r>
    </w:p>
    <w:p w:rsidR="00123DF1" w:rsidRPr="00BD2588" w:rsidRDefault="00123DF1">
      <w:pPr>
        <w:rPr>
          <w:rFonts w:asciiTheme="minorHAnsi" w:hAnsiTheme="minorHAnsi" w:cstheme="minorHAnsi"/>
        </w:rPr>
      </w:pPr>
    </w:p>
    <w:p w:rsidR="00123DF1" w:rsidRPr="00BD2588" w:rsidRDefault="00123DF1">
      <w:pPr>
        <w:pStyle w:val="berschrift3"/>
        <w:rPr>
          <w:rFonts w:asciiTheme="minorHAnsi" w:hAnsiTheme="minorHAnsi" w:cstheme="minorHAnsi"/>
        </w:rPr>
      </w:pPr>
      <w:r w:rsidRPr="00BD2588">
        <w:rPr>
          <w:rFonts w:asciiTheme="minorHAnsi" w:hAnsiTheme="minorHAnsi" w:cstheme="minorHAnsi"/>
        </w:rPr>
        <w:t>Datenhalter</w:t>
      </w:r>
    </w:p>
    <w:p w:rsidR="00123DF1" w:rsidRPr="00BD2588" w:rsidRDefault="00123DF1">
      <w:pPr>
        <w:rPr>
          <w:rFonts w:asciiTheme="minorHAnsi" w:hAnsiTheme="minorHAnsi" w:cstheme="minorHAnsi"/>
        </w:rPr>
      </w:pPr>
      <w:r w:rsidRPr="00BD2588">
        <w:rPr>
          <w:rFonts w:asciiTheme="minorHAnsi" w:hAnsiTheme="minorHAnsi" w:cstheme="minorHAnsi"/>
        </w:rPr>
        <w:t>Statistische Landesämter</w:t>
      </w:r>
    </w:p>
    <w:p w:rsidR="00123DF1" w:rsidRPr="00BD2588" w:rsidRDefault="00123DF1">
      <w:pPr>
        <w:rPr>
          <w:rFonts w:asciiTheme="minorHAnsi" w:hAnsiTheme="minorHAnsi" w:cstheme="minorHAnsi"/>
        </w:rPr>
      </w:pPr>
    </w:p>
    <w:p w:rsidR="00123DF1" w:rsidRPr="00BD2588" w:rsidRDefault="00123DF1">
      <w:pPr>
        <w:rPr>
          <w:rFonts w:asciiTheme="minorHAnsi" w:hAnsiTheme="minorHAnsi" w:cstheme="minorHAnsi"/>
          <w:b/>
        </w:rPr>
      </w:pPr>
      <w:r w:rsidRPr="00BD2588">
        <w:rPr>
          <w:rFonts w:asciiTheme="minorHAnsi" w:hAnsiTheme="minorHAnsi" w:cstheme="minorHAnsi"/>
          <w:b/>
        </w:rPr>
        <w:t>Datenquelle</w:t>
      </w:r>
    </w:p>
    <w:p w:rsidR="00123DF1" w:rsidRPr="00BD2588" w:rsidRDefault="00123DF1">
      <w:pPr>
        <w:rPr>
          <w:rFonts w:asciiTheme="minorHAnsi" w:hAnsiTheme="minorHAnsi" w:cstheme="minorHAnsi"/>
        </w:rPr>
      </w:pPr>
      <w:r w:rsidRPr="00BD2588">
        <w:rPr>
          <w:rFonts w:asciiTheme="minorHAnsi" w:hAnsiTheme="minorHAnsi" w:cstheme="minorHAnsi"/>
        </w:rPr>
        <w:t>Pflegestatistik</w:t>
      </w:r>
    </w:p>
    <w:p w:rsidR="00123DF1" w:rsidRPr="00BD2588" w:rsidRDefault="00123DF1">
      <w:pPr>
        <w:rPr>
          <w:rFonts w:asciiTheme="minorHAnsi" w:hAnsiTheme="minorHAnsi" w:cstheme="minorHAnsi"/>
        </w:rPr>
      </w:pPr>
    </w:p>
    <w:p w:rsidR="00123DF1" w:rsidRPr="00BD2588" w:rsidRDefault="00123DF1">
      <w:pPr>
        <w:rPr>
          <w:rFonts w:asciiTheme="minorHAnsi" w:hAnsiTheme="minorHAnsi" w:cstheme="minorHAnsi"/>
          <w:b/>
        </w:rPr>
      </w:pPr>
      <w:r w:rsidRPr="00BD2588">
        <w:rPr>
          <w:rFonts w:asciiTheme="minorHAnsi" w:hAnsiTheme="minorHAnsi" w:cstheme="minorHAnsi"/>
          <w:b/>
        </w:rPr>
        <w:t>Periodizität</w:t>
      </w:r>
    </w:p>
    <w:p w:rsidR="00123DF1" w:rsidRPr="00BD2588" w:rsidRDefault="00123DF1">
      <w:pPr>
        <w:rPr>
          <w:rFonts w:asciiTheme="minorHAnsi" w:hAnsiTheme="minorHAnsi" w:cstheme="minorHAnsi"/>
        </w:rPr>
      </w:pPr>
      <w:r w:rsidRPr="00BD2588">
        <w:rPr>
          <w:rFonts w:asciiTheme="minorHAnsi" w:hAnsiTheme="minorHAnsi" w:cstheme="minorHAnsi"/>
        </w:rPr>
        <w:t>Zweijährlich, 15.12; erstmalig 1999</w:t>
      </w:r>
    </w:p>
    <w:p w:rsidR="00123DF1" w:rsidRPr="00BD2588" w:rsidRDefault="00123DF1">
      <w:pPr>
        <w:rPr>
          <w:rFonts w:asciiTheme="minorHAnsi" w:hAnsiTheme="minorHAnsi" w:cstheme="minorHAnsi"/>
        </w:rPr>
      </w:pPr>
    </w:p>
    <w:p w:rsidR="00123DF1" w:rsidRPr="00BD2588" w:rsidRDefault="00123DF1">
      <w:pPr>
        <w:rPr>
          <w:rFonts w:asciiTheme="minorHAnsi" w:hAnsiTheme="minorHAnsi" w:cstheme="minorHAnsi"/>
          <w:b/>
        </w:rPr>
      </w:pPr>
      <w:r w:rsidRPr="00BD2588">
        <w:rPr>
          <w:rFonts w:asciiTheme="minorHAnsi" w:hAnsiTheme="minorHAnsi" w:cstheme="minorHAnsi"/>
          <w:b/>
        </w:rPr>
        <w:t>Validität</w:t>
      </w:r>
    </w:p>
    <w:p w:rsidR="00123DF1" w:rsidRPr="00BD2588" w:rsidRDefault="006D6DF1">
      <w:pPr>
        <w:pStyle w:val="Textkrper3"/>
        <w:rPr>
          <w:rFonts w:asciiTheme="minorHAnsi" w:hAnsiTheme="minorHAnsi" w:cstheme="minorHAnsi"/>
          <w:u w:val="none"/>
        </w:rPr>
      </w:pPr>
      <w:r w:rsidRPr="00E50315">
        <w:rPr>
          <w:rFonts w:ascii="Calibri" w:hAnsi="Calibri" w:cs="Calibri"/>
          <w:u w:val="none"/>
        </w:rPr>
        <w:t>Bei der Pflegestatistik handelt es sich um eine Totalerhebung mit Auskunftspflicht. Schwierigkeiten bei dem Erreichen einer hohen Datenqualität kann es dadurch geben, dass es sich um eine Datenerhebung bei einer Vielzahl von Auskunftspflichtigen handelt, die sich durch das Ausscheiden oder durch das Gründen neuer Pflegeeinrichtungen ständig verändert</w:t>
      </w:r>
      <w:r w:rsidRPr="006D6DF1">
        <w:rPr>
          <w:rFonts w:ascii="Calibri" w:hAnsi="Calibri" w:cs="Calibri"/>
        </w:rPr>
        <w:t>.</w:t>
      </w:r>
    </w:p>
    <w:p w:rsidR="00123DF1" w:rsidRPr="00BD2588" w:rsidRDefault="00123DF1">
      <w:pPr>
        <w:rPr>
          <w:rFonts w:asciiTheme="minorHAnsi" w:hAnsiTheme="minorHAnsi" w:cstheme="minorHAnsi"/>
        </w:rPr>
      </w:pPr>
    </w:p>
    <w:p w:rsidR="00123DF1" w:rsidRPr="00BD2588" w:rsidRDefault="00123DF1">
      <w:pPr>
        <w:rPr>
          <w:rFonts w:asciiTheme="minorHAnsi" w:hAnsiTheme="minorHAnsi" w:cstheme="minorHAnsi"/>
          <w:b/>
        </w:rPr>
      </w:pPr>
      <w:r w:rsidRPr="00BD2588">
        <w:rPr>
          <w:rFonts w:asciiTheme="minorHAnsi" w:hAnsiTheme="minorHAnsi" w:cstheme="minorHAnsi"/>
          <w:b/>
        </w:rPr>
        <w:t>Kommentar</w:t>
      </w:r>
    </w:p>
    <w:p w:rsidR="00123DF1" w:rsidRPr="00BD2588" w:rsidRDefault="00123DF1">
      <w:pPr>
        <w:rPr>
          <w:rFonts w:asciiTheme="minorHAnsi" w:hAnsiTheme="minorHAnsi" w:cstheme="minorHAnsi"/>
        </w:rPr>
      </w:pPr>
      <w:r w:rsidRPr="00BD2588">
        <w:rPr>
          <w:rFonts w:asciiTheme="minorHAnsi" w:hAnsiTheme="minorHAnsi" w:cstheme="minorHAnsi"/>
        </w:rPr>
        <w:t>Die verwendeten Zahlen sind Stichtagszahlen der Pflegeeinrichtungen nach SGB XI zum 15.12. des Berichtsjahres.</w:t>
      </w:r>
    </w:p>
    <w:p w:rsidR="008878DC" w:rsidRPr="008878DC" w:rsidRDefault="008878DC" w:rsidP="008878DC">
      <w:pPr>
        <w:rPr>
          <w:rFonts w:asciiTheme="minorHAnsi" w:hAnsiTheme="minorHAnsi" w:cstheme="minorHAnsi"/>
        </w:rPr>
      </w:pPr>
      <w:r w:rsidRPr="008878DC">
        <w:rPr>
          <w:rFonts w:asciiTheme="minorHAnsi" w:hAnsiTheme="minorHAnsi" w:cstheme="minorHAnsi"/>
        </w:rPr>
        <w:t>Ab 2019 werden Personen mit der Geschlechtsangabe „divers“ bzw. „ohne Angabe“ (Geschlecht nach §22 Abs. 3 PStG) zufällig auf „männlich“ oder „weiblich“ verteilt.</w:t>
      </w:r>
    </w:p>
    <w:p w:rsidR="00123DF1" w:rsidRPr="00BD2588" w:rsidRDefault="00123DF1">
      <w:pPr>
        <w:rPr>
          <w:rFonts w:asciiTheme="minorHAnsi" w:hAnsiTheme="minorHAnsi" w:cstheme="minorHAnsi"/>
        </w:rPr>
      </w:pPr>
      <w:r w:rsidRPr="00BD2588">
        <w:rPr>
          <w:rFonts w:asciiTheme="minorHAnsi" w:hAnsiTheme="minorHAnsi" w:cstheme="minorHAnsi"/>
        </w:rPr>
        <w:t>Der vorliegende Indikator ist ein Prozessindikator.</w:t>
      </w:r>
    </w:p>
    <w:p w:rsidR="00123DF1" w:rsidRPr="00BD2588" w:rsidRDefault="00123DF1">
      <w:pPr>
        <w:rPr>
          <w:rFonts w:asciiTheme="minorHAnsi" w:hAnsiTheme="minorHAnsi" w:cstheme="minorHAnsi"/>
        </w:rPr>
      </w:pPr>
    </w:p>
    <w:p w:rsidR="00123DF1" w:rsidRPr="00BD2588" w:rsidRDefault="00123DF1">
      <w:pPr>
        <w:rPr>
          <w:rFonts w:asciiTheme="minorHAnsi" w:hAnsiTheme="minorHAnsi" w:cstheme="minorHAnsi"/>
          <w:b/>
        </w:rPr>
      </w:pPr>
      <w:r w:rsidRPr="00BD2588">
        <w:rPr>
          <w:rFonts w:asciiTheme="minorHAnsi" w:hAnsiTheme="minorHAnsi" w:cstheme="minorHAnsi"/>
          <w:b/>
        </w:rPr>
        <w:t>Vergleichbarkeit</w:t>
      </w:r>
    </w:p>
    <w:p w:rsidR="00123DF1" w:rsidRPr="00BD2588" w:rsidRDefault="00123DF1">
      <w:pPr>
        <w:rPr>
          <w:rFonts w:asciiTheme="minorHAnsi" w:hAnsiTheme="minorHAnsi" w:cstheme="minorHAnsi"/>
        </w:rPr>
      </w:pPr>
      <w:r w:rsidRPr="00BD2588">
        <w:rPr>
          <w:rFonts w:asciiTheme="minorHAnsi" w:hAnsiTheme="minorHAnsi" w:cstheme="minorHAnsi"/>
        </w:rPr>
        <w:t xml:space="preserve">Es gibt keine vergleichbaren WHO-, OECD- und vorgesehenen EU-Indikatoren. </w:t>
      </w:r>
    </w:p>
    <w:p w:rsidR="00123DF1" w:rsidRPr="00BD2588" w:rsidRDefault="00123DF1">
      <w:pPr>
        <w:rPr>
          <w:rFonts w:asciiTheme="minorHAnsi" w:hAnsiTheme="minorHAnsi" w:cstheme="minorHAnsi"/>
        </w:rPr>
      </w:pPr>
      <w:r w:rsidRPr="00BD2588">
        <w:rPr>
          <w:rFonts w:asciiTheme="minorHAnsi" w:hAnsiTheme="minorHAnsi" w:cstheme="minorHAnsi"/>
        </w:rPr>
        <w:t xml:space="preserve">Der vorliegende Indikator wurde neu in den </w:t>
      </w:r>
      <w:proofErr w:type="spellStart"/>
      <w:r w:rsidRPr="00BD2588">
        <w:rPr>
          <w:rFonts w:asciiTheme="minorHAnsi" w:hAnsiTheme="minorHAnsi" w:cstheme="minorHAnsi"/>
        </w:rPr>
        <w:t>Indikatorensatz</w:t>
      </w:r>
      <w:proofErr w:type="spellEnd"/>
      <w:r w:rsidRPr="00BD2588">
        <w:rPr>
          <w:rFonts w:asciiTheme="minorHAnsi" w:hAnsiTheme="minorHAnsi" w:cstheme="minorHAnsi"/>
        </w:rPr>
        <w:t xml:space="preserve"> aufgenommen.</w:t>
      </w:r>
    </w:p>
    <w:p w:rsidR="00123DF1" w:rsidRPr="00BD2588" w:rsidRDefault="00123DF1">
      <w:pPr>
        <w:rPr>
          <w:rFonts w:asciiTheme="minorHAnsi" w:hAnsiTheme="minorHAnsi" w:cstheme="minorHAnsi"/>
        </w:rPr>
      </w:pPr>
    </w:p>
    <w:p w:rsidR="00123DF1" w:rsidRPr="00BD2588" w:rsidRDefault="00123DF1">
      <w:pPr>
        <w:rPr>
          <w:rFonts w:asciiTheme="minorHAnsi" w:hAnsiTheme="minorHAnsi" w:cstheme="minorHAnsi"/>
          <w:b/>
        </w:rPr>
      </w:pPr>
      <w:r w:rsidRPr="00BD2588">
        <w:rPr>
          <w:rFonts w:asciiTheme="minorHAnsi" w:hAnsiTheme="minorHAnsi" w:cstheme="minorHAnsi"/>
          <w:b/>
        </w:rPr>
        <w:t>Originalquellen</w:t>
      </w:r>
    </w:p>
    <w:p w:rsidR="00123DF1" w:rsidRPr="00BD2588" w:rsidRDefault="00123DF1">
      <w:pPr>
        <w:rPr>
          <w:rFonts w:asciiTheme="minorHAnsi" w:hAnsiTheme="minorHAnsi" w:cstheme="minorHAnsi"/>
        </w:rPr>
      </w:pPr>
      <w:r w:rsidRPr="00BD2588">
        <w:rPr>
          <w:rFonts w:asciiTheme="minorHAnsi" w:hAnsiTheme="minorHAnsi" w:cstheme="minorHAnsi"/>
        </w:rPr>
        <w:t>Publikationen der Länder zu den verwendeten Datenquellen, z. B. Statistische Jahrbücher oder Publikationen zur Pflegestatistik.</w:t>
      </w:r>
    </w:p>
    <w:p w:rsidR="00E50315" w:rsidRPr="00BD2588" w:rsidRDefault="00E50315" w:rsidP="00E50315">
      <w:pPr>
        <w:rPr>
          <w:rFonts w:asciiTheme="minorHAnsi" w:hAnsiTheme="minorHAnsi" w:cstheme="minorHAnsi"/>
        </w:rPr>
      </w:pPr>
    </w:p>
    <w:p w:rsidR="00E50315" w:rsidRPr="00BD2588" w:rsidRDefault="00E50315" w:rsidP="00E50315">
      <w:pPr>
        <w:rPr>
          <w:rFonts w:asciiTheme="minorHAnsi" w:hAnsiTheme="minorHAnsi" w:cstheme="minorHAnsi"/>
          <w:b/>
        </w:rPr>
      </w:pPr>
      <w:r>
        <w:rPr>
          <w:rFonts w:asciiTheme="minorHAnsi" w:hAnsiTheme="minorHAnsi" w:cstheme="minorHAnsi"/>
          <w:b/>
        </w:rPr>
        <w:t>Stand</w:t>
      </w:r>
    </w:p>
    <w:p w:rsidR="00E50315" w:rsidRPr="00BD2588" w:rsidRDefault="008878DC" w:rsidP="00E50315">
      <w:pPr>
        <w:rPr>
          <w:rFonts w:asciiTheme="minorHAnsi" w:hAnsiTheme="minorHAnsi" w:cstheme="minorHAnsi"/>
        </w:rPr>
      </w:pPr>
      <w:r>
        <w:rPr>
          <w:rFonts w:asciiTheme="minorHAnsi" w:hAnsiTheme="minorHAnsi" w:cstheme="minorHAnsi"/>
        </w:rPr>
        <w:t>Februar 2022</w:t>
      </w:r>
      <w:bookmarkStart w:id="0" w:name="_GoBack"/>
      <w:bookmarkEnd w:id="0"/>
    </w:p>
    <w:p w:rsidR="00123DF1" w:rsidRPr="00BD2588" w:rsidRDefault="00123DF1">
      <w:pPr>
        <w:rPr>
          <w:rFonts w:asciiTheme="minorHAnsi" w:hAnsiTheme="minorHAnsi" w:cstheme="minorHAnsi"/>
          <w:b/>
        </w:rPr>
      </w:pPr>
    </w:p>
    <w:sectPr w:rsidR="00123DF1" w:rsidRPr="00BD2588">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1D" w:rsidRDefault="006D6DF1">
      <w:r>
        <w:separator/>
      </w:r>
    </w:p>
  </w:endnote>
  <w:endnote w:type="continuationSeparator" w:id="0">
    <w:p w:rsidR="00363D1D" w:rsidRDefault="006D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88" w:rsidRDefault="00BD25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88" w:rsidRDefault="00BD25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88" w:rsidRDefault="00BD25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1D" w:rsidRDefault="006D6DF1">
      <w:r>
        <w:separator/>
      </w:r>
    </w:p>
  </w:footnote>
  <w:footnote w:type="continuationSeparator" w:id="0">
    <w:p w:rsidR="00363D1D" w:rsidRDefault="006D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88" w:rsidRDefault="00BD25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88" w:rsidRDefault="00BD25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88" w:rsidRDefault="00BD25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8216EC"/>
    <w:lvl w:ilvl="0">
      <w:numFmt w:val="decimal"/>
      <w:lvlText w:val="*"/>
      <w:lvlJc w:val="left"/>
    </w:lvl>
  </w:abstractNum>
  <w:abstractNum w:abstractNumId="1" w15:restartNumberingAfterBreak="0">
    <w:nsid w:val="08670528"/>
    <w:multiLevelType w:val="hybridMultilevel"/>
    <w:tmpl w:val="DFF8C976"/>
    <w:lvl w:ilvl="0" w:tplc="5B58C53A">
      <w:start w:val="1"/>
      <w:numFmt w:val="bullet"/>
      <w:lvlText w:val=""/>
      <w:lvlJc w:val="left"/>
      <w:pPr>
        <w:tabs>
          <w:tab w:val="num" w:pos="720"/>
        </w:tabs>
        <w:ind w:left="720" w:hanging="360"/>
      </w:pPr>
      <w:rPr>
        <w:rFonts w:ascii="Symbol" w:hAnsi="Symbol" w:hint="default"/>
      </w:rPr>
    </w:lvl>
    <w:lvl w:ilvl="1" w:tplc="BA5287DC" w:tentative="1">
      <w:start w:val="1"/>
      <w:numFmt w:val="bullet"/>
      <w:lvlText w:val="o"/>
      <w:lvlJc w:val="left"/>
      <w:pPr>
        <w:tabs>
          <w:tab w:val="num" w:pos="1440"/>
        </w:tabs>
        <w:ind w:left="1440" w:hanging="360"/>
      </w:pPr>
      <w:rPr>
        <w:rFonts w:ascii="Courier New" w:hAnsi="Courier New" w:hint="default"/>
      </w:rPr>
    </w:lvl>
    <w:lvl w:ilvl="2" w:tplc="95986188" w:tentative="1">
      <w:start w:val="1"/>
      <w:numFmt w:val="bullet"/>
      <w:lvlText w:val=""/>
      <w:lvlJc w:val="left"/>
      <w:pPr>
        <w:tabs>
          <w:tab w:val="num" w:pos="2160"/>
        </w:tabs>
        <w:ind w:left="2160" w:hanging="360"/>
      </w:pPr>
      <w:rPr>
        <w:rFonts w:ascii="Wingdings" w:hAnsi="Wingdings" w:hint="default"/>
      </w:rPr>
    </w:lvl>
    <w:lvl w:ilvl="3" w:tplc="10887300" w:tentative="1">
      <w:start w:val="1"/>
      <w:numFmt w:val="bullet"/>
      <w:lvlText w:val=""/>
      <w:lvlJc w:val="left"/>
      <w:pPr>
        <w:tabs>
          <w:tab w:val="num" w:pos="2880"/>
        </w:tabs>
        <w:ind w:left="2880" w:hanging="360"/>
      </w:pPr>
      <w:rPr>
        <w:rFonts w:ascii="Symbol" w:hAnsi="Symbol" w:hint="default"/>
      </w:rPr>
    </w:lvl>
    <w:lvl w:ilvl="4" w:tplc="5F78F4D0" w:tentative="1">
      <w:start w:val="1"/>
      <w:numFmt w:val="bullet"/>
      <w:lvlText w:val="o"/>
      <w:lvlJc w:val="left"/>
      <w:pPr>
        <w:tabs>
          <w:tab w:val="num" w:pos="3600"/>
        </w:tabs>
        <w:ind w:left="3600" w:hanging="360"/>
      </w:pPr>
      <w:rPr>
        <w:rFonts w:ascii="Courier New" w:hAnsi="Courier New" w:hint="default"/>
      </w:rPr>
    </w:lvl>
    <w:lvl w:ilvl="5" w:tplc="85463460" w:tentative="1">
      <w:start w:val="1"/>
      <w:numFmt w:val="bullet"/>
      <w:lvlText w:val=""/>
      <w:lvlJc w:val="left"/>
      <w:pPr>
        <w:tabs>
          <w:tab w:val="num" w:pos="4320"/>
        </w:tabs>
        <w:ind w:left="4320" w:hanging="360"/>
      </w:pPr>
      <w:rPr>
        <w:rFonts w:ascii="Wingdings" w:hAnsi="Wingdings" w:hint="default"/>
      </w:rPr>
    </w:lvl>
    <w:lvl w:ilvl="6" w:tplc="9A145E0E" w:tentative="1">
      <w:start w:val="1"/>
      <w:numFmt w:val="bullet"/>
      <w:lvlText w:val=""/>
      <w:lvlJc w:val="left"/>
      <w:pPr>
        <w:tabs>
          <w:tab w:val="num" w:pos="5040"/>
        </w:tabs>
        <w:ind w:left="5040" w:hanging="360"/>
      </w:pPr>
      <w:rPr>
        <w:rFonts w:ascii="Symbol" w:hAnsi="Symbol" w:hint="default"/>
      </w:rPr>
    </w:lvl>
    <w:lvl w:ilvl="7" w:tplc="95CA08D2" w:tentative="1">
      <w:start w:val="1"/>
      <w:numFmt w:val="bullet"/>
      <w:lvlText w:val="o"/>
      <w:lvlJc w:val="left"/>
      <w:pPr>
        <w:tabs>
          <w:tab w:val="num" w:pos="5760"/>
        </w:tabs>
        <w:ind w:left="5760" w:hanging="360"/>
      </w:pPr>
      <w:rPr>
        <w:rFonts w:ascii="Courier New" w:hAnsi="Courier New" w:hint="default"/>
      </w:rPr>
    </w:lvl>
    <w:lvl w:ilvl="8" w:tplc="CDCCA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67016"/>
    <w:multiLevelType w:val="hybridMultilevel"/>
    <w:tmpl w:val="96A6E0E0"/>
    <w:lvl w:ilvl="0" w:tplc="B0A43A88">
      <w:start w:val="1"/>
      <w:numFmt w:val="bullet"/>
      <w:lvlText w:val=""/>
      <w:lvlJc w:val="left"/>
      <w:pPr>
        <w:tabs>
          <w:tab w:val="num" w:pos="1080"/>
        </w:tabs>
        <w:ind w:left="1080" w:hanging="360"/>
      </w:pPr>
      <w:rPr>
        <w:rFonts w:ascii="Symbol" w:hAnsi="Symbol" w:hint="default"/>
      </w:rPr>
    </w:lvl>
    <w:lvl w:ilvl="1" w:tplc="DFF666CC" w:tentative="1">
      <w:start w:val="1"/>
      <w:numFmt w:val="bullet"/>
      <w:lvlText w:val="o"/>
      <w:lvlJc w:val="left"/>
      <w:pPr>
        <w:tabs>
          <w:tab w:val="num" w:pos="1800"/>
        </w:tabs>
        <w:ind w:left="1800" w:hanging="360"/>
      </w:pPr>
      <w:rPr>
        <w:rFonts w:ascii="Courier New" w:hAnsi="Courier New" w:hint="default"/>
      </w:rPr>
    </w:lvl>
    <w:lvl w:ilvl="2" w:tplc="0F3E3862" w:tentative="1">
      <w:start w:val="1"/>
      <w:numFmt w:val="bullet"/>
      <w:lvlText w:val=""/>
      <w:lvlJc w:val="left"/>
      <w:pPr>
        <w:tabs>
          <w:tab w:val="num" w:pos="2520"/>
        </w:tabs>
        <w:ind w:left="2520" w:hanging="360"/>
      </w:pPr>
      <w:rPr>
        <w:rFonts w:ascii="Wingdings" w:hAnsi="Wingdings" w:hint="default"/>
      </w:rPr>
    </w:lvl>
    <w:lvl w:ilvl="3" w:tplc="8E467E82" w:tentative="1">
      <w:start w:val="1"/>
      <w:numFmt w:val="bullet"/>
      <w:lvlText w:val=""/>
      <w:lvlJc w:val="left"/>
      <w:pPr>
        <w:tabs>
          <w:tab w:val="num" w:pos="3240"/>
        </w:tabs>
        <w:ind w:left="3240" w:hanging="360"/>
      </w:pPr>
      <w:rPr>
        <w:rFonts w:ascii="Symbol" w:hAnsi="Symbol" w:hint="default"/>
      </w:rPr>
    </w:lvl>
    <w:lvl w:ilvl="4" w:tplc="AF6EB840" w:tentative="1">
      <w:start w:val="1"/>
      <w:numFmt w:val="bullet"/>
      <w:lvlText w:val="o"/>
      <w:lvlJc w:val="left"/>
      <w:pPr>
        <w:tabs>
          <w:tab w:val="num" w:pos="3960"/>
        </w:tabs>
        <w:ind w:left="3960" w:hanging="360"/>
      </w:pPr>
      <w:rPr>
        <w:rFonts w:ascii="Courier New" w:hAnsi="Courier New" w:hint="default"/>
      </w:rPr>
    </w:lvl>
    <w:lvl w:ilvl="5" w:tplc="EA545D66" w:tentative="1">
      <w:start w:val="1"/>
      <w:numFmt w:val="bullet"/>
      <w:lvlText w:val=""/>
      <w:lvlJc w:val="left"/>
      <w:pPr>
        <w:tabs>
          <w:tab w:val="num" w:pos="4680"/>
        </w:tabs>
        <w:ind w:left="4680" w:hanging="360"/>
      </w:pPr>
      <w:rPr>
        <w:rFonts w:ascii="Wingdings" w:hAnsi="Wingdings" w:hint="default"/>
      </w:rPr>
    </w:lvl>
    <w:lvl w:ilvl="6" w:tplc="7548C8D2" w:tentative="1">
      <w:start w:val="1"/>
      <w:numFmt w:val="bullet"/>
      <w:lvlText w:val=""/>
      <w:lvlJc w:val="left"/>
      <w:pPr>
        <w:tabs>
          <w:tab w:val="num" w:pos="5400"/>
        </w:tabs>
        <w:ind w:left="5400" w:hanging="360"/>
      </w:pPr>
      <w:rPr>
        <w:rFonts w:ascii="Symbol" w:hAnsi="Symbol" w:hint="default"/>
      </w:rPr>
    </w:lvl>
    <w:lvl w:ilvl="7" w:tplc="AEEAFA18" w:tentative="1">
      <w:start w:val="1"/>
      <w:numFmt w:val="bullet"/>
      <w:lvlText w:val="o"/>
      <w:lvlJc w:val="left"/>
      <w:pPr>
        <w:tabs>
          <w:tab w:val="num" w:pos="6120"/>
        </w:tabs>
        <w:ind w:left="6120" w:hanging="360"/>
      </w:pPr>
      <w:rPr>
        <w:rFonts w:ascii="Courier New" w:hAnsi="Courier New" w:hint="default"/>
      </w:rPr>
    </w:lvl>
    <w:lvl w:ilvl="8" w:tplc="2AC669F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F97EB3"/>
    <w:multiLevelType w:val="hybridMultilevel"/>
    <w:tmpl w:val="CFC6890A"/>
    <w:lvl w:ilvl="0" w:tplc="F1D0498C">
      <w:start w:val="1"/>
      <w:numFmt w:val="bullet"/>
      <w:lvlText w:val=""/>
      <w:lvlJc w:val="left"/>
      <w:pPr>
        <w:tabs>
          <w:tab w:val="num" w:pos="1080"/>
        </w:tabs>
        <w:ind w:left="1080" w:hanging="360"/>
      </w:pPr>
      <w:rPr>
        <w:rFonts w:ascii="Symbol" w:hAnsi="Symbol" w:hint="default"/>
      </w:rPr>
    </w:lvl>
    <w:lvl w:ilvl="1" w:tplc="F7F2B1B0" w:tentative="1">
      <w:start w:val="1"/>
      <w:numFmt w:val="bullet"/>
      <w:lvlText w:val="o"/>
      <w:lvlJc w:val="left"/>
      <w:pPr>
        <w:tabs>
          <w:tab w:val="num" w:pos="1800"/>
        </w:tabs>
        <w:ind w:left="1800" w:hanging="360"/>
      </w:pPr>
      <w:rPr>
        <w:rFonts w:ascii="Courier New" w:hAnsi="Courier New" w:hint="default"/>
      </w:rPr>
    </w:lvl>
    <w:lvl w:ilvl="2" w:tplc="5A166434" w:tentative="1">
      <w:start w:val="1"/>
      <w:numFmt w:val="bullet"/>
      <w:lvlText w:val=""/>
      <w:lvlJc w:val="left"/>
      <w:pPr>
        <w:tabs>
          <w:tab w:val="num" w:pos="2520"/>
        </w:tabs>
        <w:ind w:left="2520" w:hanging="360"/>
      </w:pPr>
      <w:rPr>
        <w:rFonts w:ascii="Wingdings" w:hAnsi="Wingdings" w:hint="default"/>
      </w:rPr>
    </w:lvl>
    <w:lvl w:ilvl="3" w:tplc="936E7198" w:tentative="1">
      <w:start w:val="1"/>
      <w:numFmt w:val="bullet"/>
      <w:lvlText w:val=""/>
      <w:lvlJc w:val="left"/>
      <w:pPr>
        <w:tabs>
          <w:tab w:val="num" w:pos="3240"/>
        </w:tabs>
        <w:ind w:left="3240" w:hanging="360"/>
      </w:pPr>
      <w:rPr>
        <w:rFonts w:ascii="Symbol" w:hAnsi="Symbol" w:hint="default"/>
      </w:rPr>
    </w:lvl>
    <w:lvl w:ilvl="4" w:tplc="67A813E2" w:tentative="1">
      <w:start w:val="1"/>
      <w:numFmt w:val="bullet"/>
      <w:lvlText w:val="o"/>
      <w:lvlJc w:val="left"/>
      <w:pPr>
        <w:tabs>
          <w:tab w:val="num" w:pos="3960"/>
        </w:tabs>
        <w:ind w:left="3960" w:hanging="360"/>
      </w:pPr>
      <w:rPr>
        <w:rFonts w:ascii="Courier New" w:hAnsi="Courier New" w:hint="default"/>
      </w:rPr>
    </w:lvl>
    <w:lvl w:ilvl="5" w:tplc="4DE01BEA" w:tentative="1">
      <w:start w:val="1"/>
      <w:numFmt w:val="bullet"/>
      <w:lvlText w:val=""/>
      <w:lvlJc w:val="left"/>
      <w:pPr>
        <w:tabs>
          <w:tab w:val="num" w:pos="4680"/>
        </w:tabs>
        <w:ind w:left="4680" w:hanging="360"/>
      </w:pPr>
      <w:rPr>
        <w:rFonts w:ascii="Wingdings" w:hAnsi="Wingdings" w:hint="default"/>
      </w:rPr>
    </w:lvl>
    <w:lvl w:ilvl="6" w:tplc="2EEC8D60" w:tentative="1">
      <w:start w:val="1"/>
      <w:numFmt w:val="bullet"/>
      <w:lvlText w:val=""/>
      <w:lvlJc w:val="left"/>
      <w:pPr>
        <w:tabs>
          <w:tab w:val="num" w:pos="5400"/>
        </w:tabs>
        <w:ind w:left="5400" w:hanging="360"/>
      </w:pPr>
      <w:rPr>
        <w:rFonts w:ascii="Symbol" w:hAnsi="Symbol" w:hint="default"/>
      </w:rPr>
    </w:lvl>
    <w:lvl w:ilvl="7" w:tplc="3830F5EC" w:tentative="1">
      <w:start w:val="1"/>
      <w:numFmt w:val="bullet"/>
      <w:lvlText w:val="o"/>
      <w:lvlJc w:val="left"/>
      <w:pPr>
        <w:tabs>
          <w:tab w:val="num" w:pos="6120"/>
        </w:tabs>
        <w:ind w:left="6120" w:hanging="360"/>
      </w:pPr>
      <w:rPr>
        <w:rFonts w:ascii="Courier New" w:hAnsi="Courier New" w:hint="default"/>
      </w:rPr>
    </w:lvl>
    <w:lvl w:ilvl="8" w:tplc="29DEAB1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2C0376"/>
    <w:multiLevelType w:val="hybridMultilevel"/>
    <w:tmpl w:val="0A469548"/>
    <w:lvl w:ilvl="0" w:tplc="B9E87146">
      <w:start w:val="1"/>
      <w:numFmt w:val="bullet"/>
      <w:lvlText w:val=""/>
      <w:lvlJc w:val="left"/>
      <w:pPr>
        <w:tabs>
          <w:tab w:val="num" w:pos="720"/>
        </w:tabs>
        <w:ind w:left="720" w:hanging="360"/>
      </w:pPr>
      <w:rPr>
        <w:rFonts w:ascii="Symbol" w:hAnsi="Symbol" w:hint="default"/>
      </w:rPr>
    </w:lvl>
    <w:lvl w:ilvl="1" w:tplc="23DC24FE" w:tentative="1">
      <w:start w:val="1"/>
      <w:numFmt w:val="bullet"/>
      <w:lvlText w:val="o"/>
      <w:lvlJc w:val="left"/>
      <w:pPr>
        <w:tabs>
          <w:tab w:val="num" w:pos="1440"/>
        </w:tabs>
        <w:ind w:left="1440" w:hanging="360"/>
      </w:pPr>
      <w:rPr>
        <w:rFonts w:ascii="Courier New" w:hAnsi="Courier New" w:hint="default"/>
      </w:rPr>
    </w:lvl>
    <w:lvl w:ilvl="2" w:tplc="A6A8E69C" w:tentative="1">
      <w:start w:val="1"/>
      <w:numFmt w:val="bullet"/>
      <w:lvlText w:val=""/>
      <w:lvlJc w:val="left"/>
      <w:pPr>
        <w:tabs>
          <w:tab w:val="num" w:pos="2160"/>
        </w:tabs>
        <w:ind w:left="2160" w:hanging="360"/>
      </w:pPr>
      <w:rPr>
        <w:rFonts w:ascii="Wingdings" w:hAnsi="Wingdings" w:hint="default"/>
      </w:rPr>
    </w:lvl>
    <w:lvl w:ilvl="3" w:tplc="A49EDB24" w:tentative="1">
      <w:start w:val="1"/>
      <w:numFmt w:val="bullet"/>
      <w:lvlText w:val=""/>
      <w:lvlJc w:val="left"/>
      <w:pPr>
        <w:tabs>
          <w:tab w:val="num" w:pos="2880"/>
        </w:tabs>
        <w:ind w:left="2880" w:hanging="360"/>
      </w:pPr>
      <w:rPr>
        <w:rFonts w:ascii="Symbol" w:hAnsi="Symbol" w:hint="default"/>
      </w:rPr>
    </w:lvl>
    <w:lvl w:ilvl="4" w:tplc="B4FE28A4" w:tentative="1">
      <w:start w:val="1"/>
      <w:numFmt w:val="bullet"/>
      <w:lvlText w:val="o"/>
      <w:lvlJc w:val="left"/>
      <w:pPr>
        <w:tabs>
          <w:tab w:val="num" w:pos="3600"/>
        </w:tabs>
        <w:ind w:left="3600" w:hanging="360"/>
      </w:pPr>
      <w:rPr>
        <w:rFonts w:ascii="Courier New" w:hAnsi="Courier New" w:hint="default"/>
      </w:rPr>
    </w:lvl>
    <w:lvl w:ilvl="5" w:tplc="71600E94" w:tentative="1">
      <w:start w:val="1"/>
      <w:numFmt w:val="bullet"/>
      <w:lvlText w:val=""/>
      <w:lvlJc w:val="left"/>
      <w:pPr>
        <w:tabs>
          <w:tab w:val="num" w:pos="4320"/>
        </w:tabs>
        <w:ind w:left="4320" w:hanging="360"/>
      </w:pPr>
      <w:rPr>
        <w:rFonts w:ascii="Wingdings" w:hAnsi="Wingdings" w:hint="default"/>
      </w:rPr>
    </w:lvl>
    <w:lvl w:ilvl="6" w:tplc="A1E4332C" w:tentative="1">
      <w:start w:val="1"/>
      <w:numFmt w:val="bullet"/>
      <w:lvlText w:val=""/>
      <w:lvlJc w:val="left"/>
      <w:pPr>
        <w:tabs>
          <w:tab w:val="num" w:pos="5040"/>
        </w:tabs>
        <w:ind w:left="5040" w:hanging="360"/>
      </w:pPr>
      <w:rPr>
        <w:rFonts w:ascii="Symbol" w:hAnsi="Symbol" w:hint="default"/>
      </w:rPr>
    </w:lvl>
    <w:lvl w:ilvl="7" w:tplc="922AF70E" w:tentative="1">
      <w:start w:val="1"/>
      <w:numFmt w:val="bullet"/>
      <w:lvlText w:val="o"/>
      <w:lvlJc w:val="left"/>
      <w:pPr>
        <w:tabs>
          <w:tab w:val="num" w:pos="5760"/>
        </w:tabs>
        <w:ind w:left="5760" w:hanging="360"/>
      </w:pPr>
      <w:rPr>
        <w:rFonts w:ascii="Courier New" w:hAnsi="Courier New" w:hint="default"/>
      </w:rPr>
    </w:lvl>
    <w:lvl w:ilvl="8" w:tplc="7C02FE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enu v:ext="edit" fillcolor="none" strokecolor="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7"/>
    <w:rsid w:val="00123DF1"/>
    <w:rsid w:val="00363D1D"/>
    <w:rsid w:val="006D6DF1"/>
    <w:rsid w:val="008878DC"/>
    <w:rsid w:val="00BD2588"/>
    <w:rsid w:val="00DF6297"/>
    <w:rsid w:val="00E50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strokecolor="black"/>
    </o:shapedefaults>
    <o:shapelayout v:ext="edit">
      <o:idmap v:ext="edit" data="1"/>
    </o:shapelayout>
  </w:shapeDefaults>
  <w:decimalSymbol w:val=","/>
  <w:listSeparator w:val=";"/>
  <w14:docId w14:val="3EFBF7C2"/>
  <w15:chartTrackingRefBased/>
  <w15:docId w15:val="{660196A2-3BEC-49DA-87B8-A5D1E9D6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jc w:val="both"/>
      <w:outlineLvl w:val="1"/>
    </w:pPr>
    <w:rPr>
      <w:b/>
      <w:sz w:val="22"/>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2"/>
    </w:rPr>
  </w:style>
  <w:style w:type="paragraph" w:styleId="Textkrper">
    <w:name w:val="Body Text"/>
    <w:basedOn w:val="Standard"/>
    <w:pPr>
      <w:jc w:val="both"/>
    </w:pPr>
    <w:rPr>
      <w:i/>
      <w:sz w:val="22"/>
    </w:rPr>
  </w:style>
  <w:style w:type="paragraph" w:styleId="Textkrper2">
    <w:name w:val="Body Text 2"/>
    <w:basedOn w:val="Standard"/>
    <w:pPr>
      <w:jc w:val="both"/>
    </w:pPr>
    <w:rPr>
      <w:sz w:val="22"/>
    </w:rPr>
  </w:style>
  <w:style w:type="paragraph" w:customStyle="1" w:styleId="SBStd">
    <w:name w:val="SB_Std"/>
    <w:pPr>
      <w:overflowPunct w:val="0"/>
      <w:autoSpaceDE w:val="0"/>
      <w:autoSpaceDN w:val="0"/>
      <w:adjustRightInd w:val="0"/>
      <w:textAlignment w:val="baseline"/>
    </w:pPr>
    <w:rPr>
      <w:rFonts w:ascii="Arial" w:hAnsi="Arial"/>
      <w:sz w:val="18"/>
    </w:rPr>
  </w:style>
  <w:style w:type="paragraph" w:customStyle="1" w:styleId="ErlAufz">
    <w:name w:val="ErlAufz"/>
    <w:basedOn w:val="ErlFlie"/>
    <w:pPr>
      <w:tabs>
        <w:tab w:val="left" w:pos="170"/>
        <w:tab w:val="left" w:pos="360"/>
      </w:tabs>
      <w:ind w:left="360" w:hanging="360"/>
    </w:pPr>
  </w:style>
  <w:style w:type="paragraph" w:customStyle="1" w:styleId="ErlFlie">
    <w:name w:val="ErlFließ"/>
    <w:basedOn w:val="SBStd"/>
    <w:pPr>
      <w:spacing w:line="220" w:lineRule="exact"/>
      <w:ind w:firstLine="113"/>
    </w:pPr>
  </w:style>
  <w:style w:type="paragraph" w:customStyle="1" w:styleId="ErlZw">
    <w:name w:val="ErlZwü"/>
    <w:basedOn w:val="ErlFlie"/>
    <w:next w:val="Standard"/>
    <w:pPr>
      <w:keepNext/>
      <w:keepLines/>
      <w:spacing w:before="220"/>
      <w:ind w:firstLine="0"/>
    </w:pPr>
    <w:rPr>
      <w:b/>
    </w:rPr>
  </w:style>
  <w:style w:type="paragraph" w:styleId="Dokumentstruktur">
    <w:name w:val="Document Map"/>
    <w:basedOn w:val="Standard"/>
    <w:semiHidden/>
    <w:pPr>
      <w:shd w:val="clear" w:color="auto" w:fill="000080"/>
    </w:pPr>
    <w:rPr>
      <w:rFonts w:ascii="Tahoma" w:hAnsi="Tahoma" w:cs="Tahoma"/>
    </w:rPr>
  </w:style>
  <w:style w:type="paragraph" w:customStyle="1" w:styleId="SBErlber1">
    <w:name w:val="SB_ErlÜber1"/>
    <w:basedOn w:val="ErlFlie"/>
    <w:next w:val="ErlZw"/>
    <w:pPr>
      <w:keepNext/>
      <w:keepLines/>
      <w:spacing w:line="240" w:lineRule="auto"/>
      <w:ind w:firstLine="0"/>
    </w:pPr>
    <w:rPr>
      <w:rFonts w:ascii="Arial Narrow" w:hAnsi="Arial Narrow"/>
      <w:sz w:val="22"/>
    </w:rPr>
  </w:style>
  <w:style w:type="paragraph" w:customStyle="1" w:styleId="ErlFlie1">
    <w:name w:val="ErlFließ1"/>
    <w:basedOn w:val="ErlFlie"/>
    <w:next w:val="ErlFlie"/>
    <w:pPr>
      <w:ind w:firstLine="0"/>
    </w:pPr>
  </w:style>
  <w:style w:type="paragraph" w:styleId="Textkrper3">
    <w:name w:val="Body Text 3"/>
    <w:basedOn w:val="Standard"/>
    <w:rPr>
      <w:u w:val="single"/>
    </w:rPr>
  </w:style>
  <w:style w:type="paragraph" w:styleId="Fuzeile">
    <w:name w:val="footer"/>
    <w:basedOn w:val="Standard"/>
    <w:link w:val="FuzeileZchn"/>
    <w:uiPriority w:val="99"/>
    <w:unhideWhenUsed/>
    <w:rsid w:val="00BD2588"/>
    <w:pPr>
      <w:tabs>
        <w:tab w:val="center" w:pos="4536"/>
        <w:tab w:val="right" w:pos="9072"/>
      </w:tabs>
    </w:pPr>
  </w:style>
  <w:style w:type="character" w:customStyle="1" w:styleId="FuzeileZchn">
    <w:name w:val="Fußzeile Zchn"/>
    <w:basedOn w:val="Absatz-Standardschriftart"/>
    <w:link w:val="Fuzeile"/>
    <w:uiPriority w:val="99"/>
    <w:rsid w:val="00BD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loegd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breckenk</dc:creator>
  <cp:keywords/>
  <cp:lastModifiedBy>Zollikofer, Sylvia (LGL)</cp:lastModifiedBy>
  <cp:revision>2</cp:revision>
  <cp:lastPrinted>2003-01-14T15:22:00Z</cp:lastPrinted>
  <dcterms:created xsi:type="dcterms:W3CDTF">2022-02-16T12:14:00Z</dcterms:created>
  <dcterms:modified xsi:type="dcterms:W3CDTF">2022-02-16T12:14:00Z</dcterms:modified>
</cp:coreProperties>
</file>