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25" w:rsidRPr="00B72AC2" w:rsidRDefault="00191225" w:rsidP="00191225">
      <w:pPr>
        <w:rPr>
          <w:rFonts w:ascii="Arial" w:hAnsi="Arial" w:cs="Arial"/>
          <w:b/>
        </w:rPr>
      </w:pPr>
      <w:r w:rsidRPr="00B72AC2">
        <w:rPr>
          <w:rFonts w:ascii="Arial" w:hAnsi="Arial" w:cs="Arial"/>
          <w:b/>
        </w:rPr>
        <w:t>Indikator 8.22</w:t>
      </w:r>
      <w:r>
        <w:rPr>
          <w:rFonts w:ascii="Arial" w:hAnsi="Arial" w:cs="Arial"/>
          <w:b/>
        </w:rPr>
        <w:t>A</w:t>
      </w:r>
      <w:r w:rsidRPr="00B72AC2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L</w:t>
      </w:r>
      <w:r w:rsidRPr="00B72AC2">
        <w:rPr>
          <w:rFonts w:ascii="Arial" w:hAnsi="Arial" w:cs="Arial"/>
          <w:b/>
        </w:rPr>
        <w:t>)</w:t>
      </w:r>
    </w:p>
    <w:p w:rsidR="00191225" w:rsidRPr="00B72AC2" w:rsidRDefault="00866BBC" w:rsidP="001912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Selbstständig tätige </w:t>
      </w:r>
      <w:r w:rsidR="00191225">
        <w:rPr>
          <w:rFonts w:ascii="Arial" w:hAnsi="Arial" w:cs="Arial"/>
          <w:b/>
        </w:rPr>
        <w:t xml:space="preserve">Hebammen </w:t>
      </w:r>
      <w:r w:rsidR="00F75919">
        <w:rPr>
          <w:rFonts w:ascii="Arial" w:hAnsi="Arial" w:cs="Arial"/>
          <w:b/>
        </w:rPr>
        <w:t xml:space="preserve">(m/w) </w:t>
      </w:r>
      <w:r w:rsidR="00191225">
        <w:rPr>
          <w:rFonts w:ascii="Arial" w:hAnsi="Arial" w:cs="Arial"/>
          <w:b/>
        </w:rPr>
        <w:t>in ambulanten Einrichtungen,</w:t>
      </w:r>
      <w:r>
        <w:rPr>
          <w:rFonts w:ascii="Arial" w:hAnsi="Arial" w:cs="Arial"/>
          <w:b/>
        </w:rPr>
        <w:br/>
      </w:r>
      <w:r w:rsidR="00191225">
        <w:rPr>
          <w:rFonts w:ascii="Arial" w:hAnsi="Arial" w:cs="Arial"/>
          <w:b/>
        </w:rPr>
        <w:t>Land im Regionalvergleich</w:t>
      </w:r>
    </w:p>
    <w:p w:rsidR="00191225" w:rsidRPr="00B72AC2" w:rsidRDefault="00191225" w:rsidP="00191225">
      <w:pPr>
        <w:rPr>
          <w:rFonts w:ascii="Arial" w:hAnsi="Arial" w:cs="Arial"/>
        </w:rPr>
      </w:pPr>
    </w:p>
    <w:p w:rsidR="00191225" w:rsidRPr="00B72AC2" w:rsidRDefault="00191225" w:rsidP="00191225">
      <w:pPr>
        <w:outlineLvl w:val="0"/>
        <w:rPr>
          <w:rFonts w:ascii="Arial" w:hAnsi="Arial" w:cs="Arial"/>
          <w:b/>
        </w:rPr>
      </w:pPr>
      <w:r w:rsidRPr="00B72AC2">
        <w:rPr>
          <w:rFonts w:ascii="Arial" w:hAnsi="Arial" w:cs="Arial"/>
          <w:b/>
        </w:rPr>
        <w:t>Definition</w:t>
      </w:r>
    </w:p>
    <w:p w:rsidR="00191225" w:rsidRDefault="00191225" w:rsidP="00191225">
      <w:pPr>
        <w:rPr>
          <w:rFonts w:ascii="Arial" w:hAnsi="Arial" w:cs="Arial"/>
        </w:rPr>
      </w:pPr>
      <w:r>
        <w:rPr>
          <w:rFonts w:ascii="Arial" w:hAnsi="Arial" w:cs="Arial"/>
        </w:rPr>
        <w:t>Der Indikator 8.22A ist ein Gradmesser der geburtshilflichen Versorgung im ambulanten Bereich.</w:t>
      </w:r>
    </w:p>
    <w:p w:rsidR="00191225" w:rsidRDefault="00191225" w:rsidP="00191225">
      <w:pPr>
        <w:rPr>
          <w:rFonts w:ascii="Arial" w:hAnsi="Arial" w:cs="Arial"/>
        </w:rPr>
      </w:pPr>
      <w:r>
        <w:rPr>
          <w:rFonts w:ascii="Arial" w:hAnsi="Arial" w:cs="Arial"/>
          <w:color w:val="333333"/>
        </w:rPr>
        <w:t>Wer die Berufsbezeichnung "Hebamme" führen will, bedarf der Erlaubnis der zuständigen Behörde, das ist in Bayern die Regierung des Regierungsbezirks, in dem der Antragsteller die Prüfung abgelegt hat.</w:t>
      </w:r>
    </w:p>
    <w:p w:rsidR="00191225" w:rsidRDefault="00191225" w:rsidP="00191225">
      <w:pPr>
        <w:rPr>
          <w:rFonts w:ascii="Arial" w:hAnsi="Arial" w:cs="Arial"/>
        </w:rPr>
      </w:pPr>
    </w:p>
    <w:p w:rsidR="00191225" w:rsidRDefault="00191225" w:rsidP="00191225">
      <w:pPr>
        <w:rPr>
          <w:rFonts w:ascii="Arial" w:hAnsi="Arial" w:cs="Arial"/>
        </w:rPr>
      </w:pPr>
      <w:r>
        <w:rPr>
          <w:rFonts w:ascii="Arial" w:hAnsi="Arial" w:cs="Arial"/>
        </w:rPr>
        <w:t>Im Indikator 8.22A werden voll- und teilzeitbeschäftigte Personen ohne Umrechnung auf Vollkräfte gezählt.</w:t>
      </w:r>
    </w:p>
    <w:p w:rsidR="00191225" w:rsidRDefault="00191225" w:rsidP="00191225">
      <w:pPr>
        <w:rPr>
          <w:rFonts w:ascii="Arial" w:hAnsi="Arial" w:cs="Arial"/>
        </w:rPr>
      </w:pPr>
    </w:p>
    <w:p w:rsidR="00191225" w:rsidRDefault="00191225" w:rsidP="00191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Hebammen im ambulanten Bereich werden in Bayern jährlich durch die Gesundheitsämter an das Bayerische Landesamt für Gesundheit und Lebensmittelsicherheit gemeldet. </w:t>
      </w:r>
    </w:p>
    <w:p w:rsidR="00191225" w:rsidRDefault="00191225" w:rsidP="00191225">
      <w:pPr>
        <w:rPr>
          <w:rFonts w:ascii="Arial" w:hAnsi="Arial" w:cs="Arial"/>
        </w:rPr>
      </w:pPr>
    </w:p>
    <w:p w:rsidR="00191225" w:rsidRPr="00B72AC2" w:rsidRDefault="00191225" w:rsidP="00191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Zur Gewährleistung einer Vergleichbarkeit zwischen den Landkreisen bzw. kreisfreien Städten werden die </w:t>
      </w:r>
      <w:proofErr w:type="spellStart"/>
      <w:r>
        <w:rPr>
          <w:rFonts w:ascii="Arial" w:hAnsi="Arial" w:cs="Arial"/>
        </w:rPr>
        <w:t>Absolutzahlen</w:t>
      </w:r>
      <w:proofErr w:type="spellEnd"/>
      <w:r>
        <w:rPr>
          <w:rFonts w:ascii="Arial" w:hAnsi="Arial" w:cs="Arial"/>
        </w:rPr>
        <w:t xml:space="preserve"> der Hebammen auf die fertile weibliche Bevölkerung zwischen 15 und 44 Jahren bezogen.</w:t>
      </w:r>
    </w:p>
    <w:p w:rsidR="00191225" w:rsidRPr="00B72AC2" w:rsidRDefault="00191225" w:rsidP="00191225">
      <w:pPr>
        <w:rPr>
          <w:rFonts w:ascii="Arial" w:hAnsi="Arial" w:cs="Arial"/>
        </w:rPr>
      </w:pPr>
    </w:p>
    <w:p w:rsidR="00191225" w:rsidRPr="00B72AC2" w:rsidRDefault="00191225" w:rsidP="00191225">
      <w:pPr>
        <w:pStyle w:val="berschrift3"/>
        <w:rPr>
          <w:rFonts w:ascii="Arial" w:hAnsi="Arial" w:cs="Arial"/>
        </w:rPr>
      </w:pPr>
      <w:r w:rsidRPr="00B72AC2">
        <w:rPr>
          <w:rFonts w:ascii="Arial" w:hAnsi="Arial" w:cs="Arial"/>
        </w:rPr>
        <w:t>Datenhalter</w:t>
      </w:r>
    </w:p>
    <w:p w:rsidR="00191225" w:rsidRDefault="00191225" w:rsidP="00191225">
      <w:pPr>
        <w:rPr>
          <w:rFonts w:ascii="Arial" w:hAnsi="Arial" w:cs="Arial"/>
        </w:rPr>
      </w:pPr>
      <w:r>
        <w:rPr>
          <w:rFonts w:ascii="Arial" w:hAnsi="Arial" w:cs="Arial"/>
        </w:rPr>
        <w:t>Bayerisches Landesamt für Gesundheit und Lebensmittelsicherheit</w:t>
      </w:r>
    </w:p>
    <w:p w:rsidR="00191225" w:rsidRPr="00B72AC2" w:rsidRDefault="00191225" w:rsidP="00191225">
      <w:pPr>
        <w:rPr>
          <w:rFonts w:ascii="Arial" w:hAnsi="Arial" w:cs="Arial"/>
        </w:rPr>
      </w:pPr>
      <w:r>
        <w:rPr>
          <w:rFonts w:ascii="Arial" w:hAnsi="Arial" w:cs="Arial"/>
        </w:rPr>
        <w:t>Bayerisches Landesamt für Statistik und Datenverarbeitung</w:t>
      </w:r>
    </w:p>
    <w:p w:rsidR="00191225" w:rsidRPr="00B72AC2" w:rsidRDefault="00191225" w:rsidP="00191225">
      <w:pPr>
        <w:rPr>
          <w:rFonts w:ascii="Arial" w:hAnsi="Arial" w:cs="Arial"/>
        </w:rPr>
      </w:pPr>
    </w:p>
    <w:p w:rsidR="00191225" w:rsidRPr="00B72AC2" w:rsidRDefault="00191225" w:rsidP="00191225">
      <w:pPr>
        <w:rPr>
          <w:rFonts w:ascii="Arial" w:hAnsi="Arial" w:cs="Arial"/>
          <w:b/>
        </w:rPr>
      </w:pPr>
      <w:r w:rsidRPr="00B72AC2">
        <w:rPr>
          <w:rFonts w:ascii="Arial" w:hAnsi="Arial" w:cs="Arial"/>
          <w:b/>
        </w:rPr>
        <w:t>Datenquelle</w:t>
      </w:r>
    </w:p>
    <w:p w:rsidR="00191225" w:rsidRDefault="00191225" w:rsidP="00191225">
      <w:pPr>
        <w:rPr>
          <w:rFonts w:ascii="Arial" w:hAnsi="Arial" w:cs="Arial"/>
        </w:rPr>
      </w:pPr>
      <w:r>
        <w:rPr>
          <w:rFonts w:ascii="Arial" w:hAnsi="Arial" w:cs="Arial"/>
        </w:rPr>
        <w:t>Erhebung durch das Bayerische Landesamt für Gesundheit und Lebensmittelsicherheit</w:t>
      </w:r>
    </w:p>
    <w:p w:rsidR="00191225" w:rsidRPr="00B72AC2" w:rsidRDefault="00191225" w:rsidP="00191225">
      <w:pPr>
        <w:rPr>
          <w:rFonts w:ascii="Arial" w:hAnsi="Arial" w:cs="Arial"/>
        </w:rPr>
      </w:pPr>
      <w:r>
        <w:rPr>
          <w:rFonts w:ascii="Arial" w:hAnsi="Arial" w:cs="Arial"/>
        </w:rPr>
        <w:t>Fortschreibung des Bevölkerungsstandes</w:t>
      </w:r>
    </w:p>
    <w:p w:rsidR="00191225" w:rsidRPr="00B72AC2" w:rsidRDefault="00191225" w:rsidP="00191225">
      <w:pPr>
        <w:rPr>
          <w:rFonts w:ascii="Arial" w:hAnsi="Arial" w:cs="Arial"/>
        </w:rPr>
      </w:pPr>
    </w:p>
    <w:p w:rsidR="00191225" w:rsidRPr="00B72AC2" w:rsidRDefault="00191225" w:rsidP="00191225">
      <w:pPr>
        <w:rPr>
          <w:rFonts w:ascii="Arial" w:hAnsi="Arial" w:cs="Arial"/>
          <w:b/>
        </w:rPr>
      </w:pPr>
      <w:r w:rsidRPr="00B72AC2">
        <w:rPr>
          <w:rFonts w:ascii="Arial" w:hAnsi="Arial" w:cs="Arial"/>
          <w:b/>
        </w:rPr>
        <w:t>Periodizität</w:t>
      </w:r>
    </w:p>
    <w:p w:rsidR="00191225" w:rsidRPr="00B72AC2" w:rsidRDefault="00191225" w:rsidP="00191225">
      <w:pPr>
        <w:rPr>
          <w:rFonts w:ascii="Arial" w:hAnsi="Arial" w:cs="Arial"/>
        </w:rPr>
      </w:pPr>
      <w:r>
        <w:rPr>
          <w:rFonts w:ascii="Arial" w:hAnsi="Arial" w:cs="Arial"/>
        </w:rPr>
        <w:t>Jährlich, 31.12.</w:t>
      </w:r>
    </w:p>
    <w:p w:rsidR="00191225" w:rsidRPr="00B72AC2" w:rsidRDefault="00191225" w:rsidP="00191225">
      <w:pPr>
        <w:rPr>
          <w:rFonts w:ascii="Arial" w:hAnsi="Arial" w:cs="Arial"/>
        </w:rPr>
      </w:pPr>
    </w:p>
    <w:p w:rsidR="00191225" w:rsidRPr="00B72AC2" w:rsidRDefault="00191225" w:rsidP="00191225">
      <w:pPr>
        <w:rPr>
          <w:rFonts w:ascii="Arial" w:hAnsi="Arial" w:cs="Arial"/>
          <w:b/>
        </w:rPr>
      </w:pPr>
      <w:r w:rsidRPr="00B72AC2">
        <w:rPr>
          <w:rFonts w:ascii="Arial" w:hAnsi="Arial" w:cs="Arial"/>
          <w:b/>
        </w:rPr>
        <w:t>Validität</w:t>
      </w:r>
    </w:p>
    <w:p w:rsidR="00191225" w:rsidRPr="00B72AC2" w:rsidRDefault="005F0CB3" w:rsidP="00191225">
      <w:pPr>
        <w:pStyle w:val="Textkrper3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Die Validität der Angaben hängt von der Erfassungsqualität in den unteren Gesundheitsbehörden ab. </w:t>
      </w:r>
      <w:r w:rsidRPr="00A540AA">
        <w:rPr>
          <w:rFonts w:ascii="Arial" w:hAnsi="Arial" w:cs="Arial"/>
          <w:u w:val="none"/>
        </w:rPr>
        <w:t>Es ist unter anderem aufgrund versäumter Abmeldungen bzw. Doppelmeldungen in unterschiedlichen Landkreisen damit zu rechnen, dass die von den Gesundheitsämtern übermittelten Daten etwas überhöht sind</w:t>
      </w:r>
      <w:r>
        <w:rPr>
          <w:rFonts w:ascii="Arial" w:hAnsi="Arial" w:cs="Arial"/>
          <w:u w:val="none"/>
        </w:rPr>
        <w:t>.</w:t>
      </w:r>
    </w:p>
    <w:p w:rsidR="00191225" w:rsidRPr="00B72AC2" w:rsidRDefault="00191225" w:rsidP="00191225">
      <w:pPr>
        <w:rPr>
          <w:rFonts w:ascii="Arial" w:hAnsi="Arial" w:cs="Arial"/>
        </w:rPr>
      </w:pPr>
    </w:p>
    <w:p w:rsidR="00191225" w:rsidRPr="00B72AC2" w:rsidRDefault="00191225" w:rsidP="00191225">
      <w:pPr>
        <w:rPr>
          <w:rFonts w:ascii="Arial" w:hAnsi="Arial" w:cs="Arial"/>
          <w:b/>
        </w:rPr>
      </w:pPr>
      <w:r w:rsidRPr="00B72AC2">
        <w:rPr>
          <w:rFonts w:ascii="Arial" w:hAnsi="Arial" w:cs="Arial"/>
          <w:b/>
        </w:rPr>
        <w:t>Kommentar</w:t>
      </w:r>
    </w:p>
    <w:p w:rsidR="00191225" w:rsidRDefault="00191225" w:rsidP="00191225">
      <w:pPr>
        <w:rPr>
          <w:rFonts w:ascii="Arial" w:hAnsi="Arial" w:cs="Arial"/>
        </w:rPr>
      </w:pPr>
      <w:r>
        <w:rPr>
          <w:rFonts w:ascii="Arial" w:hAnsi="Arial" w:cs="Arial"/>
        </w:rPr>
        <w:t>Die verwendeten Zahlen sind Stichtagszahlen bezogen auf die fertile weibliche Bevölkerung zwischen 15 und 44 Jahren zum 31.12 jeden Jahres.</w:t>
      </w:r>
    </w:p>
    <w:p w:rsidR="00191225" w:rsidRDefault="00191225" w:rsidP="00191225">
      <w:pPr>
        <w:rPr>
          <w:rFonts w:ascii="Arial" w:hAnsi="Arial" w:cs="Arial"/>
        </w:rPr>
      </w:pPr>
    </w:p>
    <w:p w:rsidR="00123DF1" w:rsidRDefault="00191225">
      <w:pPr>
        <w:rPr>
          <w:rFonts w:ascii="Arial" w:hAnsi="Arial" w:cs="Arial"/>
        </w:rPr>
      </w:pPr>
      <w:r>
        <w:rPr>
          <w:rFonts w:ascii="Arial" w:hAnsi="Arial" w:cs="Arial"/>
        </w:rPr>
        <w:t>Daten der Hebammen im stationären Bereich sind der Krankenhausstatistik zu entnehmen. Zwischen beiden Bereichen (ambulant/stationär) gibt es personelle Überschneidungen, d.h. die Zahlen können nicht einfach aufaddiert werden.</w:t>
      </w:r>
    </w:p>
    <w:p w:rsidR="005F0CB3" w:rsidRDefault="005F0CB3" w:rsidP="005F0CB3">
      <w:pPr>
        <w:rPr>
          <w:rFonts w:ascii="Arial" w:hAnsi="Arial" w:cs="Arial"/>
          <w:b/>
        </w:rPr>
      </w:pPr>
    </w:p>
    <w:p w:rsidR="005F0CB3" w:rsidRPr="00B72AC2" w:rsidRDefault="005F0CB3" w:rsidP="005F0CB3">
      <w:pPr>
        <w:rPr>
          <w:rFonts w:ascii="Arial" w:hAnsi="Arial" w:cs="Arial"/>
          <w:b/>
        </w:rPr>
      </w:pPr>
      <w:r w:rsidRPr="00B72AC2">
        <w:rPr>
          <w:rFonts w:ascii="Arial" w:hAnsi="Arial" w:cs="Arial"/>
          <w:b/>
        </w:rPr>
        <w:t>Vergleichbarkeit</w:t>
      </w:r>
    </w:p>
    <w:p w:rsidR="005F0CB3" w:rsidRPr="00B72AC2" w:rsidRDefault="005F0CB3" w:rsidP="005F0CB3">
      <w:pPr>
        <w:rPr>
          <w:rFonts w:ascii="Arial" w:hAnsi="Arial" w:cs="Arial"/>
        </w:rPr>
      </w:pPr>
    </w:p>
    <w:p w:rsidR="005F0CB3" w:rsidRPr="005C779E" w:rsidRDefault="005F0CB3" w:rsidP="005F0CB3">
      <w:pPr>
        <w:rPr>
          <w:rFonts w:ascii="Arial" w:hAnsi="Arial" w:cs="Arial"/>
          <w:b/>
        </w:rPr>
      </w:pPr>
      <w:r w:rsidRPr="00B72AC2">
        <w:rPr>
          <w:rFonts w:ascii="Arial" w:hAnsi="Arial" w:cs="Arial"/>
          <w:b/>
        </w:rPr>
        <w:t>Originalquellen</w:t>
      </w:r>
    </w:p>
    <w:p w:rsidR="005F0CB3" w:rsidRPr="00E2031E" w:rsidRDefault="005F0CB3" w:rsidP="005F0CB3">
      <w:pPr>
        <w:numPr>
          <w:ilvl w:val="0"/>
          <w:numId w:val="6"/>
        </w:numPr>
        <w:rPr>
          <w:rFonts w:ascii="Arial" w:hAnsi="Arial" w:cs="Arial"/>
        </w:rPr>
      </w:pPr>
      <w:r w:rsidRPr="00E2031E">
        <w:rPr>
          <w:rFonts w:ascii="Arial" w:hAnsi="Arial" w:cs="Arial"/>
        </w:rPr>
        <w:t>Abfrage des LGL bei den Gesundheitsämtern</w:t>
      </w:r>
    </w:p>
    <w:p w:rsidR="005F0CB3" w:rsidRPr="00E2031E" w:rsidRDefault="005F0CB3" w:rsidP="005F0CB3">
      <w:pPr>
        <w:rPr>
          <w:rFonts w:ascii="Arial" w:hAnsi="Arial" w:cs="Arial"/>
        </w:rPr>
      </w:pPr>
    </w:p>
    <w:p w:rsidR="005F0CB3" w:rsidRPr="00E2031E" w:rsidRDefault="005F0CB3" w:rsidP="005F0CB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E2031E">
        <w:rPr>
          <w:rFonts w:ascii="Arial" w:hAnsi="Arial" w:cs="Arial"/>
          <w:b/>
          <w:sz w:val="20"/>
        </w:rPr>
        <w:t>Dokumentationss</w:t>
      </w:r>
      <w:r>
        <w:rPr>
          <w:rFonts w:ascii="Arial" w:hAnsi="Arial" w:cs="Arial"/>
          <w:b/>
          <w:sz w:val="20"/>
        </w:rPr>
        <w:t>t</w:t>
      </w:r>
      <w:r w:rsidRPr="00E2031E">
        <w:rPr>
          <w:rFonts w:ascii="Arial" w:hAnsi="Arial" w:cs="Arial"/>
          <w:b/>
          <w:sz w:val="20"/>
        </w:rPr>
        <w:t>and:</w:t>
      </w:r>
      <w:r w:rsidRPr="00E2031E">
        <w:rPr>
          <w:rFonts w:ascii="Arial" w:hAnsi="Arial" w:cs="Arial"/>
          <w:sz w:val="20"/>
        </w:rPr>
        <w:t xml:space="preserve"> </w:t>
      </w:r>
      <w:r w:rsidR="00F75919">
        <w:rPr>
          <w:rFonts w:ascii="Arial" w:hAnsi="Arial" w:cs="Arial"/>
          <w:sz w:val="20"/>
        </w:rPr>
        <w:t>September 2023</w:t>
      </w:r>
      <w:bookmarkStart w:id="0" w:name="_GoBack"/>
      <w:bookmarkEnd w:id="0"/>
    </w:p>
    <w:p w:rsidR="005F0CB3" w:rsidRPr="00B72AC2" w:rsidRDefault="005F0CB3">
      <w:pPr>
        <w:rPr>
          <w:rFonts w:ascii="Arial" w:hAnsi="Arial" w:cs="Arial"/>
          <w:b/>
        </w:rPr>
      </w:pPr>
    </w:p>
    <w:sectPr w:rsidR="005F0CB3" w:rsidRPr="00B72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E3" w:rsidRDefault="00977FE3">
      <w:r>
        <w:separator/>
      </w:r>
    </w:p>
  </w:endnote>
  <w:endnote w:type="continuationSeparator" w:id="0">
    <w:p w:rsidR="00977FE3" w:rsidRDefault="0097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BC" w:rsidRDefault="00866B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BC" w:rsidRDefault="00866B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BC" w:rsidRDefault="00866B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E3" w:rsidRDefault="00977FE3">
      <w:r>
        <w:separator/>
      </w:r>
    </w:p>
  </w:footnote>
  <w:footnote w:type="continuationSeparator" w:id="0">
    <w:p w:rsidR="00977FE3" w:rsidRDefault="0097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BC" w:rsidRDefault="00866B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BC" w:rsidRDefault="00866B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BC" w:rsidRDefault="00866B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8216EC"/>
    <w:lvl w:ilvl="0">
      <w:numFmt w:val="decimal"/>
      <w:lvlText w:val="*"/>
      <w:lvlJc w:val="left"/>
    </w:lvl>
  </w:abstractNum>
  <w:abstractNum w:abstractNumId="1" w15:restartNumberingAfterBreak="0">
    <w:nsid w:val="08670528"/>
    <w:multiLevelType w:val="hybridMultilevel"/>
    <w:tmpl w:val="DFF8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7016"/>
    <w:multiLevelType w:val="hybridMultilevel"/>
    <w:tmpl w:val="96A6E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90008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F97EB3"/>
    <w:multiLevelType w:val="hybridMultilevel"/>
    <w:tmpl w:val="CFC689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2C0376"/>
    <w:multiLevelType w:val="hybridMultilevel"/>
    <w:tmpl w:val="0A46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7"/>
    <w:rsid w:val="00123DF1"/>
    <w:rsid w:val="00191225"/>
    <w:rsid w:val="00237C02"/>
    <w:rsid w:val="00285704"/>
    <w:rsid w:val="00302D1F"/>
    <w:rsid w:val="0037639E"/>
    <w:rsid w:val="003A38D6"/>
    <w:rsid w:val="003D383D"/>
    <w:rsid w:val="00451734"/>
    <w:rsid w:val="005675E0"/>
    <w:rsid w:val="005C56C6"/>
    <w:rsid w:val="005C779E"/>
    <w:rsid w:val="005F0CB3"/>
    <w:rsid w:val="00657396"/>
    <w:rsid w:val="006D79BC"/>
    <w:rsid w:val="00737126"/>
    <w:rsid w:val="008252BE"/>
    <w:rsid w:val="00860FE0"/>
    <w:rsid w:val="00865A21"/>
    <w:rsid w:val="00866BBC"/>
    <w:rsid w:val="008F1EDF"/>
    <w:rsid w:val="00903148"/>
    <w:rsid w:val="00934E6A"/>
    <w:rsid w:val="00945EAE"/>
    <w:rsid w:val="0097096C"/>
    <w:rsid w:val="00977FE3"/>
    <w:rsid w:val="00A945BE"/>
    <w:rsid w:val="00A94637"/>
    <w:rsid w:val="00B72AC2"/>
    <w:rsid w:val="00C6701A"/>
    <w:rsid w:val="00CE1225"/>
    <w:rsid w:val="00CE7CD2"/>
    <w:rsid w:val="00D320D4"/>
    <w:rsid w:val="00D57587"/>
    <w:rsid w:val="00DC3F22"/>
    <w:rsid w:val="00DF6297"/>
    <w:rsid w:val="00E50181"/>
    <w:rsid w:val="00F75919"/>
    <w:rsid w:val="00FA4F84"/>
    <w:rsid w:val="00FB3DB0"/>
    <w:rsid w:val="00F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008E09A"/>
  <w15:chartTrackingRefBased/>
  <w15:docId w15:val="{994D7D4D-313F-4379-A37F-E3D4DAFD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Textkrper">
    <w:name w:val="Body Text"/>
    <w:basedOn w:val="Standard"/>
    <w:pPr>
      <w:jc w:val="both"/>
    </w:pPr>
    <w:rPr>
      <w:i/>
      <w:sz w:val="22"/>
    </w:r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customStyle="1" w:styleId="SBStd">
    <w:name w:val="SB_Std"/>
    <w:link w:val="SBStdZchn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customStyle="1" w:styleId="ErlAufz">
    <w:name w:val="ErlAufz"/>
    <w:basedOn w:val="ErlFlie"/>
    <w:pPr>
      <w:tabs>
        <w:tab w:val="left" w:pos="170"/>
        <w:tab w:val="left" w:pos="360"/>
      </w:tabs>
      <w:ind w:left="360" w:hanging="360"/>
    </w:pPr>
  </w:style>
  <w:style w:type="paragraph" w:customStyle="1" w:styleId="ErlFlie">
    <w:name w:val="ErlFließ"/>
    <w:basedOn w:val="SBStd"/>
    <w:link w:val="ErlFlieZchn"/>
    <w:pPr>
      <w:spacing w:line="220" w:lineRule="exact"/>
      <w:ind w:firstLine="113"/>
    </w:pPr>
  </w:style>
  <w:style w:type="paragraph" w:customStyle="1" w:styleId="ErlZw">
    <w:name w:val="ErlZwü"/>
    <w:basedOn w:val="ErlFlie"/>
    <w:next w:val="Standard"/>
    <w:pPr>
      <w:keepNext/>
      <w:keepLines/>
      <w:spacing w:before="220"/>
      <w:ind w:firstLine="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SBErlber1">
    <w:name w:val="SB_ErlÜber1"/>
    <w:basedOn w:val="ErlFlie"/>
    <w:next w:val="ErlZw"/>
    <w:pPr>
      <w:keepNext/>
      <w:keepLines/>
      <w:spacing w:line="240" w:lineRule="auto"/>
      <w:ind w:firstLine="0"/>
    </w:pPr>
    <w:rPr>
      <w:rFonts w:ascii="Arial Narrow" w:hAnsi="Arial Narrow"/>
      <w:sz w:val="22"/>
    </w:rPr>
  </w:style>
  <w:style w:type="paragraph" w:customStyle="1" w:styleId="ErlFlie1">
    <w:name w:val="ErlFließ1"/>
    <w:basedOn w:val="ErlFlie"/>
    <w:next w:val="ErlFlie"/>
    <w:link w:val="ErlFlie1Zchn"/>
    <w:pPr>
      <w:ind w:firstLine="0"/>
    </w:pPr>
  </w:style>
  <w:style w:type="paragraph" w:styleId="Textkrper3">
    <w:name w:val="Body Text 3"/>
    <w:basedOn w:val="Standard"/>
    <w:rPr>
      <w:u w:val="single"/>
    </w:rPr>
  </w:style>
  <w:style w:type="paragraph" w:styleId="Sprechblasentext">
    <w:name w:val="Balloon Text"/>
    <w:basedOn w:val="Standard"/>
    <w:semiHidden/>
    <w:rsid w:val="00865A21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320D4"/>
    <w:rPr>
      <w:sz w:val="16"/>
      <w:szCs w:val="16"/>
    </w:rPr>
  </w:style>
  <w:style w:type="paragraph" w:styleId="Kommentartext">
    <w:name w:val="annotation text"/>
    <w:basedOn w:val="Standard"/>
    <w:semiHidden/>
    <w:rsid w:val="00D320D4"/>
  </w:style>
  <w:style w:type="paragraph" w:styleId="Kommentarthema">
    <w:name w:val="annotation subject"/>
    <w:basedOn w:val="Kommentartext"/>
    <w:next w:val="Kommentartext"/>
    <w:semiHidden/>
    <w:rsid w:val="00D320D4"/>
    <w:rPr>
      <w:b/>
      <w:bCs/>
    </w:rPr>
  </w:style>
  <w:style w:type="character" w:customStyle="1" w:styleId="SBStdZchn">
    <w:name w:val="SB_Std Zchn"/>
    <w:link w:val="SBStd"/>
    <w:rsid w:val="00285704"/>
    <w:rPr>
      <w:rFonts w:ascii="Arial" w:hAnsi="Arial"/>
      <w:sz w:val="18"/>
      <w:lang w:val="de-DE" w:eastAsia="de-DE" w:bidi="ar-SA"/>
    </w:rPr>
  </w:style>
  <w:style w:type="character" w:customStyle="1" w:styleId="ErlFlieZchn">
    <w:name w:val="ErlFließ Zchn"/>
    <w:basedOn w:val="SBStdZchn"/>
    <w:link w:val="ErlFlie"/>
    <w:rsid w:val="00285704"/>
    <w:rPr>
      <w:rFonts w:ascii="Arial" w:hAnsi="Arial"/>
      <w:sz w:val="18"/>
      <w:lang w:val="de-DE" w:eastAsia="de-DE" w:bidi="ar-SA"/>
    </w:rPr>
  </w:style>
  <w:style w:type="character" w:customStyle="1" w:styleId="ErlFlie1Zchn">
    <w:name w:val="ErlFließ1 Zchn"/>
    <w:basedOn w:val="ErlFlieZchn"/>
    <w:link w:val="ErlFlie1"/>
    <w:rsid w:val="00285704"/>
    <w:rPr>
      <w:rFonts w:ascii="Arial" w:hAnsi="Arial"/>
      <w:sz w:val="18"/>
      <w:lang w:val="de-DE" w:eastAsia="de-DE" w:bidi="ar-SA"/>
    </w:rPr>
  </w:style>
  <w:style w:type="paragraph" w:styleId="Fuzeile">
    <w:name w:val="footer"/>
    <w:basedOn w:val="Standard"/>
    <w:link w:val="FuzeileZchn"/>
    <w:rsid w:val="00866B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Metadatenbeschreibung</vt:lpstr>
    </vt:vector>
  </TitlesOfParts>
  <Company>loegd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Metadatenbeschreibung</dc:title>
  <dc:subject/>
  <dc:creator>breckenk</dc:creator>
  <cp:keywords/>
  <cp:lastModifiedBy>Zollikofer, Sylvia (LGL)</cp:lastModifiedBy>
  <cp:revision>2</cp:revision>
  <cp:lastPrinted>2012-08-02T14:43:00Z</cp:lastPrinted>
  <dcterms:created xsi:type="dcterms:W3CDTF">2023-09-25T05:55:00Z</dcterms:created>
  <dcterms:modified xsi:type="dcterms:W3CDTF">2023-09-25T05:55:00Z</dcterms:modified>
</cp:coreProperties>
</file>