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E3" w:rsidRPr="004D18AA" w:rsidRDefault="008037E3">
      <w:pPr>
        <w:rPr>
          <w:rFonts w:ascii="Arial" w:hAnsi="Arial" w:cs="Arial"/>
          <w:b/>
          <w:sz w:val="20"/>
        </w:rPr>
      </w:pPr>
      <w:r w:rsidRPr="004D18AA">
        <w:rPr>
          <w:rFonts w:ascii="Arial" w:hAnsi="Arial" w:cs="Arial"/>
          <w:b/>
          <w:sz w:val="20"/>
        </w:rPr>
        <w:t>Indikator 8.16 (L)</w:t>
      </w:r>
    </w:p>
    <w:p w:rsidR="008037E3" w:rsidRPr="004D18AA" w:rsidRDefault="008037E3">
      <w:pPr>
        <w:rPr>
          <w:rFonts w:ascii="Arial" w:hAnsi="Arial" w:cs="Arial"/>
          <w:b/>
          <w:sz w:val="20"/>
        </w:rPr>
      </w:pPr>
      <w:r w:rsidRPr="004D18AA">
        <w:rPr>
          <w:rFonts w:ascii="Arial" w:hAnsi="Arial" w:cs="Arial"/>
          <w:b/>
          <w:sz w:val="20"/>
        </w:rPr>
        <w:t>Heilpraktikerinnen und Heilpraktiker nach Geschlecht, Land im Regionalvergleich, Jahr</w:t>
      </w:r>
    </w:p>
    <w:p w:rsidR="008037E3" w:rsidRPr="004D18AA" w:rsidRDefault="008037E3">
      <w:pPr>
        <w:rPr>
          <w:rFonts w:ascii="Arial" w:hAnsi="Arial" w:cs="Arial"/>
          <w:b/>
          <w:sz w:val="20"/>
        </w:rPr>
      </w:pPr>
    </w:p>
    <w:p w:rsidR="008037E3" w:rsidRPr="004D18AA" w:rsidRDefault="008037E3">
      <w:pPr>
        <w:rPr>
          <w:rFonts w:ascii="Arial" w:hAnsi="Arial" w:cs="Arial"/>
          <w:b/>
          <w:sz w:val="20"/>
        </w:rPr>
      </w:pPr>
      <w:r w:rsidRPr="004D18AA">
        <w:rPr>
          <w:rFonts w:ascii="Arial" w:hAnsi="Arial" w:cs="Arial"/>
          <w:b/>
          <w:sz w:val="20"/>
        </w:rPr>
        <w:t>Definition</w:t>
      </w:r>
    </w:p>
    <w:p w:rsidR="008037E3" w:rsidRPr="004D18AA" w:rsidRDefault="008037E3">
      <w:pPr>
        <w:rPr>
          <w:rFonts w:ascii="Arial" w:hAnsi="Arial" w:cs="Arial"/>
          <w:sz w:val="20"/>
        </w:rPr>
      </w:pPr>
      <w:r w:rsidRPr="004D18AA">
        <w:rPr>
          <w:rFonts w:ascii="Arial" w:hAnsi="Arial" w:cs="Arial"/>
          <w:sz w:val="20"/>
        </w:rPr>
        <w:t xml:space="preserve">Der Indikator 8.16 gibt Auskunft über niedergelassene Heilpraktikerinnen und Heilpraktiker und die Versorgungsdichte. </w:t>
      </w:r>
    </w:p>
    <w:p w:rsidR="008037E3" w:rsidRPr="004D18AA" w:rsidRDefault="008037E3">
      <w:pPr>
        <w:rPr>
          <w:rFonts w:ascii="Arial" w:hAnsi="Arial" w:cs="Arial"/>
          <w:sz w:val="20"/>
        </w:rPr>
      </w:pPr>
      <w:r w:rsidRPr="004D18AA">
        <w:rPr>
          <w:rFonts w:ascii="Arial" w:hAnsi="Arial" w:cs="Arial"/>
          <w:sz w:val="20"/>
        </w:rPr>
        <w:t xml:space="preserve">Heilpraktiker ist die Berufsbezeichnung für Personen, die eine staatliche Erlaubnis zur Ausübung der Heilkunde gemäß </w:t>
      </w:r>
      <w:proofErr w:type="spellStart"/>
      <w:r w:rsidRPr="004D18AA">
        <w:rPr>
          <w:rFonts w:ascii="Arial" w:hAnsi="Arial" w:cs="Arial"/>
          <w:sz w:val="20"/>
        </w:rPr>
        <w:t>Heilpraktikergesetz</w:t>
      </w:r>
      <w:proofErr w:type="spellEnd"/>
      <w:r w:rsidRPr="004D18AA">
        <w:rPr>
          <w:rFonts w:ascii="Arial" w:hAnsi="Arial" w:cs="Arial"/>
          <w:sz w:val="20"/>
        </w:rPr>
        <w:t xml:space="preserve"> besitzen. Die staatliche Erlaubnis zur Berufsausübung wird nach Überprüfung zum Ausschluss einer Gefahr für die </w:t>
      </w:r>
      <w:r w:rsidR="00545503" w:rsidRPr="004D18AA">
        <w:rPr>
          <w:rFonts w:ascii="Arial" w:hAnsi="Arial" w:cs="Arial"/>
          <w:sz w:val="20"/>
        </w:rPr>
        <w:t xml:space="preserve">Gesundheit des Menschen </w:t>
      </w:r>
      <w:r w:rsidRPr="004D18AA">
        <w:rPr>
          <w:rFonts w:ascii="Arial" w:hAnsi="Arial" w:cs="Arial"/>
          <w:sz w:val="20"/>
        </w:rPr>
        <w:t xml:space="preserve">durch </w:t>
      </w:r>
      <w:r w:rsidR="004D18AA" w:rsidRPr="004D18AA">
        <w:rPr>
          <w:rFonts w:ascii="Arial" w:hAnsi="Arial" w:cs="Arial"/>
          <w:sz w:val="20"/>
        </w:rPr>
        <w:t>das zuständige Gesundheitsamt</w:t>
      </w:r>
      <w:r w:rsidRPr="004D18AA">
        <w:rPr>
          <w:rFonts w:ascii="Arial" w:hAnsi="Arial" w:cs="Arial"/>
          <w:sz w:val="20"/>
        </w:rPr>
        <w:t xml:space="preserve"> erteilt. Die Erlaubnis kann nur erteilt werden, wenn der Antragsteller das 25. Lebensjahr erreicht hat, eine abgeschlossene Schulbildung nachweisen kann und die Zuverlässigkeit zur Berufsausübung gegeben ist. Heilpraktiker sind zu </w:t>
      </w:r>
      <w:r w:rsidR="00E93FF8" w:rsidRPr="004D18AA">
        <w:rPr>
          <w:rFonts w:ascii="Arial" w:hAnsi="Arial" w:cs="Arial"/>
          <w:sz w:val="20"/>
        </w:rPr>
        <w:t xml:space="preserve">begrenzter </w:t>
      </w:r>
      <w:r w:rsidRPr="004D18AA">
        <w:rPr>
          <w:rFonts w:ascii="Arial" w:hAnsi="Arial" w:cs="Arial"/>
          <w:sz w:val="20"/>
        </w:rPr>
        <w:t xml:space="preserve">diagnostischer und therapeutischer Tätigkeit berechtigt. Sie haben </w:t>
      </w:r>
      <w:r w:rsidR="00547EAC">
        <w:rPr>
          <w:rFonts w:ascii="Arial" w:hAnsi="Arial" w:cs="Arial"/>
          <w:sz w:val="20"/>
        </w:rPr>
        <w:t>z.T.</w:t>
      </w:r>
      <w:r w:rsidRPr="004D18AA">
        <w:rPr>
          <w:rFonts w:ascii="Arial" w:hAnsi="Arial" w:cs="Arial"/>
          <w:sz w:val="20"/>
        </w:rPr>
        <w:t xml:space="preserve"> eine </w:t>
      </w:r>
      <w:proofErr w:type="spellStart"/>
      <w:r w:rsidRPr="004D18AA">
        <w:rPr>
          <w:rFonts w:ascii="Arial" w:hAnsi="Arial" w:cs="Arial"/>
          <w:sz w:val="20"/>
        </w:rPr>
        <w:t>Heilpraktikerschule</w:t>
      </w:r>
      <w:proofErr w:type="spellEnd"/>
      <w:r w:rsidRPr="004D18AA">
        <w:rPr>
          <w:rFonts w:ascii="Arial" w:hAnsi="Arial" w:cs="Arial"/>
          <w:sz w:val="20"/>
        </w:rPr>
        <w:t xml:space="preserve"> absolviert. Eine gesetzlich vorgeschriebene Mitgliedschaft in einem Verband gibt es nicht.</w:t>
      </w:r>
    </w:p>
    <w:p w:rsidR="008037E3" w:rsidRPr="004D18AA" w:rsidRDefault="00E93FF8">
      <w:pPr>
        <w:rPr>
          <w:rFonts w:ascii="Arial" w:hAnsi="Arial" w:cs="Arial"/>
          <w:sz w:val="20"/>
        </w:rPr>
      </w:pPr>
      <w:r w:rsidRPr="004D18AA">
        <w:rPr>
          <w:rFonts w:ascii="Arial" w:hAnsi="Arial" w:cs="Arial"/>
          <w:sz w:val="20"/>
        </w:rPr>
        <w:t xml:space="preserve">Auch die Beantragung und Erteilung einer auf das Gebiet der Psychotherapie oder eines staatlich geregelten </w:t>
      </w:r>
      <w:proofErr w:type="spellStart"/>
      <w:r w:rsidRPr="004D18AA">
        <w:rPr>
          <w:rFonts w:ascii="Arial" w:hAnsi="Arial" w:cs="Arial"/>
          <w:sz w:val="20"/>
        </w:rPr>
        <w:t>Heilhilfsberufs</w:t>
      </w:r>
      <w:proofErr w:type="spellEnd"/>
      <w:r w:rsidRPr="004D18AA">
        <w:rPr>
          <w:rFonts w:ascii="Arial" w:hAnsi="Arial" w:cs="Arial"/>
          <w:sz w:val="20"/>
        </w:rPr>
        <w:t xml:space="preserve"> (z.B. Physiotherapie) beschränkten </w:t>
      </w:r>
      <w:proofErr w:type="spellStart"/>
      <w:r w:rsidRPr="004D18AA">
        <w:rPr>
          <w:rFonts w:ascii="Arial" w:hAnsi="Arial" w:cs="Arial"/>
          <w:sz w:val="20"/>
        </w:rPr>
        <w:t>Heilpraktikererlaubnis</w:t>
      </w:r>
      <w:proofErr w:type="spellEnd"/>
      <w:r w:rsidRPr="004D18AA">
        <w:rPr>
          <w:rFonts w:ascii="Arial" w:hAnsi="Arial" w:cs="Arial"/>
          <w:sz w:val="20"/>
        </w:rPr>
        <w:t xml:space="preserve"> ist möglich. Die auf dieses Gebiet beschränkte Erlaubnis ist sodann bei der Berufsbezeichnung deutlich zu machen, zum Beispiel „Heilpraktiker bzw. Heilpraktikerin, beschränkt auf das Gebiet der … [z.B. Psychotherapie, Physiotherapie oder </w:t>
      </w:r>
      <w:proofErr w:type="spellStart"/>
      <w:r w:rsidRPr="004D18AA">
        <w:rPr>
          <w:rFonts w:ascii="Arial" w:hAnsi="Arial" w:cs="Arial"/>
          <w:sz w:val="20"/>
        </w:rPr>
        <w:t>Podologie</w:t>
      </w:r>
      <w:proofErr w:type="spellEnd"/>
      <w:r w:rsidRPr="004D18AA">
        <w:rPr>
          <w:rFonts w:ascii="Arial" w:hAnsi="Arial" w:cs="Arial"/>
          <w:sz w:val="20"/>
        </w:rPr>
        <w:t>]“.</w:t>
      </w:r>
    </w:p>
    <w:p w:rsidR="008037E3" w:rsidRPr="004D18AA" w:rsidRDefault="008037E3">
      <w:pPr>
        <w:rPr>
          <w:rFonts w:ascii="Arial" w:hAnsi="Arial" w:cs="Arial"/>
          <w:b/>
          <w:sz w:val="20"/>
        </w:rPr>
      </w:pPr>
      <w:r w:rsidRPr="004D18AA">
        <w:rPr>
          <w:rFonts w:ascii="Arial" w:hAnsi="Arial" w:cs="Arial"/>
          <w:b/>
          <w:sz w:val="20"/>
        </w:rPr>
        <w:t>Datenhalter</w:t>
      </w:r>
    </w:p>
    <w:p w:rsidR="008037E3" w:rsidRPr="004D18AA" w:rsidRDefault="00FE7728">
      <w:pPr>
        <w:pStyle w:val="Kopfzeile"/>
        <w:numPr>
          <w:ilvl w:val="0"/>
          <w:numId w:val="1"/>
        </w:numPr>
        <w:tabs>
          <w:tab w:val="clear" w:pos="4536"/>
          <w:tab w:val="clear" w:pos="9072"/>
        </w:tabs>
        <w:rPr>
          <w:rFonts w:ascii="Arial" w:hAnsi="Arial" w:cs="Arial"/>
          <w:sz w:val="20"/>
        </w:rPr>
      </w:pPr>
      <w:r w:rsidRPr="004D18AA">
        <w:rPr>
          <w:rFonts w:ascii="Arial" w:hAnsi="Arial" w:cs="Arial"/>
          <w:sz w:val="20"/>
        </w:rPr>
        <w:t>Bayerisches Landesamt für Gesundheit und Lebensmittelsicherheit</w:t>
      </w:r>
    </w:p>
    <w:p w:rsidR="008037E3" w:rsidRPr="004D18AA" w:rsidRDefault="00906DEE">
      <w:pPr>
        <w:pStyle w:val="Kopfzeile"/>
        <w:numPr>
          <w:ilvl w:val="0"/>
          <w:numId w:val="1"/>
        </w:numPr>
        <w:tabs>
          <w:tab w:val="clear" w:pos="4536"/>
          <w:tab w:val="clear" w:pos="9072"/>
        </w:tabs>
        <w:rPr>
          <w:rFonts w:ascii="Arial" w:hAnsi="Arial" w:cs="Arial"/>
          <w:sz w:val="20"/>
        </w:rPr>
      </w:pPr>
      <w:r w:rsidRPr="004D18AA">
        <w:rPr>
          <w:rFonts w:ascii="Arial" w:hAnsi="Arial" w:cs="Arial"/>
          <w:sz w:val="20"/>
        </w:rPr>
        <w:t>Bayerisches Landesamt für Statistik und Datenverarbeitung</w:t>
      </w:r>
    </w:p>
    <w:p w:rsidR="008037E3" w:rsidRPr="004D18AA" w:rsidRDefault="008037E3">
      <w:pPr>
        <w:pStyle w:val="Kopfzeile"/>
        <w:tabs>
          <w:tab w:val="clear" w:pos="4536"/>
          <w:tab w:val="clear" w:pos="9072"/>
        </w:tabs>
        <w:rPr>
          <w:rFonts w:ascii="Arial" w:hAnsi="Arial" w:cs="Arial"/>
          <w:sz w:val="20"/>
        </w:rPr>
      </w:pPr>
    </w:p>
    <w:p w:rsidR="008037E3" w:rsidRPr="004D18AA" w:rsidRDefault="008037E3">
      <w:pPr>
        <w:rPr>
          <w:rFonts w:ascii="Arial" w:hAnsi="Arial" w:cs="Arial"/>
          <w:b/>
          <w:sz w:val="20"/>
        </w:rPr>
      </w:pPr>
      <w:r w:rsidRPr="004D18AA">
        <w:rPr>
          <w:rFonts w:ascii="Arial" w:hAnsi="Arial" w:cs="Arial"/>
          <w:b/>
          <w:sz w:val="20"/>
        </w:rPr>
        <w:t>Datenquelle</w:t>
      </w:r>
    </w:p>
    <w:p w:rsidR="008037E3" w:rsidRPr="004D18AA" w:rsidRDefault="008037E3" w:rsidP="00FE7728">
      <w:pPr>
        <w:pStyle w:val="Kopfzeile"/>
        <w:numPr>
          <w:ilvl w:val="0"/>
          <w:numId w:val="2"/>
        </w:numPr>
        <w:tabs>
          <w:tab w:val="clear" w:pos="4536"/>
          <w:tab w:val="clear" w:pos="9072"/>
        </w:tabs>
        <w:rPr>
          <w:rFonts w:ascii="Arial" w:hAnsi="Arial" w:cs="Arial"/>
          <w:sz w:val="20"/>
        </w:rPr>
      </w:pPr>
      <w:r w:rsidRPr="004D18AA">
        <w:rPr>
          <w:rFonts w:ascii="Arial" w:hAnsi="Arial" w:cs="Arial"/>
          <w:sz w:val="20"/>
        </w:rPr>
        <w:t>Erhebungen</w:t>
      </w:r>
      <w:r w:rsidR="00FE7728" w:rsidRPr="004D18AA">
        <w:rPr>
          <w:rFonts w:ascii="Arial" w:hAnsi="Arial" w:cs="Arial"/>
          <w:sz w:val="20"/>
        </w:rPr>
        <w:t xml:space="preserve"> des LGL</w:t>
      </w:r>
    </w:p>
    <w:p w:rsidR="008037E3" w:rsidRPr="004D18AA" w:rsidRDefault="008037E3">
      <w:pPr>
        <w:pStyle w:val="Kopfzeile"/>
        <w:numPr>
          <w:ilvl w:val="0"/>
          <w:numId w:val="3"/>
        </w:numPr>
        <w:tabs>
          <w:tab w:val="clear" w:pos="4536"/>
          <w:tab w:val="clear" w:pos="9072"/>
        </w:tabs>
        <w:rPr>
          <w:rFonts w:ascii="Arial" w:hAnsi="Arial" w:cs="Arial"/>
          <w:sz w:val="20"/>
        </w:rPr>
      </w:pPr>
      <w:r w:rsidRPr="004D18AA">
        <w:rPr>
          <w:rFonts w:ascii="Arial" w:hAnsi="Arial" w:cs="Arial"/>
          <w:sz w:val="20"/>
        </w:rPr>
        <w:t>Fortschreibung des Bevölkerungsstandes</w:t>
      </w:r>
    </w:p>
    <w:p w:rsidR="008037E3" w:rsidRPr="004D18AA" w:rsidRDefault="008037E3">
      <w:pPr>
        <w:pStyle w:val="berschrift2"/>
        <w:jc w:val="left"/>
        <w:rPr>
          <w:rFonts w:ascii="Arial" w:hAnsi="Arial" w:cs="Arial"/>
          <w:sz w:val="20"/>
        </w:rPr>
      </w:pPr>
    </w:p>
    <w:p w:rsidR="008037E3" w:rsidRPr="004D18AA" w:rsidRDefault="008037E3">
      <w:pPr>
        <w:pStyle w:val="berschrift2"/>
        <w:jc w:val="left"/>
        <w:rPr>
          <w:rFonts w:ascii="Arial" w:hAnsi="Arial" w:cs="Arial"/>
          <w:sz w:val="20"/>
        </w:rPr>
      </w:pPr>
      <w:r w:rsidRPr="004D18AA">
        <w:rPr>
          <w:rFonts w:ascii="Arial" w:hAnsi="Arial" w:cs="Arial"/>
          <w:sz w:val="20"/>
        </w:rPr>
        <w:t>Periodizität</w:t>
      </w:r>
    </w:p>
    <w:p w:rsidR="008037E3" w:rsidRPr="004D18AA" w:rsidRDefault="008037E3">
      <w:pPr>
        <w:rPr>
          <w:rFonts w:ascii="Arial" w:hAnsi="Arial" w:cs="Arial"/>
          <w:sz w:val="20"/>
        </w:rPr>
      </w:pPr>
      <w:r w:rsidRPr="004D18AA">
        <w:rPr>
          <w:rFonts w:ascii="Arial" w:hAnsi="Arial" w:cs="Arial"/>
          <w:sz w:val="20"/>
        </w:rPr>
        <w:t>Jährlich, 31.12.</w:t>
      </w:r>
    </w:p>
    <w:p w:rsidR="008037E3" w:rsidRPr="004D18AA" w:rsidRDefault="008037E3">
      <w:pPr>
        <w:rPr>
          <w:rFonts w:ascii="Arial" w:hAnsi="Arial" w:cs="Arial"/>
          <w:b/>
          <w:sz w:val="20"/>
        </w:rPr>
      </w:pPr>
    </w:p>
    <w:p w:rsidR="008037E3" w:rsidRPr="004D18AA" w:rsidRDefault="008037E3">
      <w:pPr>
        <w:rPr>
          <w:rFonts w:ascii="Arial" w:hAnsi="Arial" w:cs="Arial"/>
          <w:b/>
          <w:sz w:val="20"/>
        </w:rPr>
      </w:pPr>
      <w:r w:rsidRPr="004D18AA">
        <w:rPr>
          <w:rFonts w:ascii="Arial" w:hAnsi="Arial" w:cs="Arial"/>
          <w:b/>
          <w:sz w:val="20"/>
        </w:rPr>
        <w:t>Validität</w:t>
      </w:r>
    </w:p>
    <w:p w:rsidR="008037E3" w:rsidRPr="004D18AA" w:rsidRDefault="008037E3">
      <w:pPr>
        <w:rPr>
          <w:rFonts w:ascii="Arial" w:hAnsi="Arial" w:cs="Arial"/>
          <w:sz w:val="20"/>
        </w:rPr>
      </w:pPr>
      <w:r w:rsidRPr="004D18AA">
        <w:rPr>
          <w:rFonts w:ascii="Arial" w:hAnsi="Arial" w:cs="Arial"/>
          <w:sz w:val="20"/>
        </w:rPr>
        <w:t xml:space="preserve">Die Vollständigkeit der Daten hängt von der Genauigkeit der Erfassung in den </w:t>
      </w:r>
      <w:r w:rsidR="004D18AA" w:rsidRPr="004D18AA">
        <w:rPr>
          <w:rFonts w:ascii="Arial" w:hAnsi="Arial" w:cs="Arial"/>
          <w:sz w:val="20"/>
        </w:rPr>
        <w:t>Gesundheitsämtern</w:t>
      </w:r>
      <w:r w:rsidR="00FE7728" w:rsidRPr="004D18AA">
        <w:rPr>
          <w:rFonts w:ascii="Arial" w:hAnsi="Arial" w:cs="Arial"/>
          <w:sz w:val="20"/>
        </w:rPr>
        <w:t xml:space="preserve"> ab.</w:t>
      </w:r>
    </w:p>
    <w:p w:rsidR="008037E3" w:rsidRPr="004D18AA" w:rsidRDefault="008037E3">
      <w:pPr>
        <w:rPr>
          <w:rFonts w:ascii="Arial" w:hAnsi="Arial" w:cs="Arial"/>
          <w:sz w:val="20"/>
        </w:rPr>
      </w:pPr>
    </w:p>
    <w:p w:rsidR="008037E3" w:rsidRPr="004D18AA" w:rsidRDefault="008037E3">
      <w:pPr>
        <w:pStyle w:val="berschrift1"/>
        <w:rPr>
          <w:rFonts w:ascii="Arial" w:hAnsi="Arial" w:cs="Arial"/>
          <w:sz w:val="20"/>
        </w:rPr>
      </w:pPr>
      <w:r w:rsidRPr="004D18AA">
        <w:rPr>
          <w:rFonts w:ascii="Arial" w:hAnsi="Arial" w:cs="Arial"/>
          <w:sz w:val="20"/>
        </w:rPr>
        <w:t>Kommentar</w:t>
      </w:r>
    </w:p>
    <w:p w:rsidR="00F250EE" w:rsidRPr="004D18AA" w:rsidRDefault="00F250EE" w:rsidP="00F250EE">
      <w:pPr>
        <w:rPr>
          <w:rFonts w:ascii="Arial" w:hAnsi="Arial" w:cs="Arial"/>
          <w:sz w:val="20"/>
        </w:rPr>
      </w:pPr>
      <w:r w:rsidRPr="004D18AA">
        <w:rPr>
          <w:rFonts w:ascii="Arial" w:hAnsi="Arial" w:cs="Arial"/>
          <w:sz w:val="20"/>
        </w:rPr>
        <w:t xml:space="preserve">Die Erteilung der Erlaubnis bzw. die Kenntnis-Überprüfung </w:t>
      </w:r>
      <w:proofErr w:type="gramStart"/>
      <w:r w:rsidRPr="004D18AA">
        <w:rPr>
          <w:rFonts w:ascii="Arial" w:hAnsi="Arial" w:cs="Arial"/>
          <w:sz w:val="20"/>
        </w:rPr>
        <w:t>erfolgt</w:t>
      </w:r>
      <w:proofErr w:type="gramEnd"/>
      <w:r w:rsidRPr="004D18AA">
        <w:rPr>
          <w:rFonts w:ascii="Arial" w:hAnsi="Arial" w:cs="Arial"/>
          <w:sz w:val="20"/>
        </w:rPr>
        <w:t xml:space="preserve"> durch das zuständige Gesundheitsamt. Die verwendeten Zahlen sind Stichtagszahlen der zuständigen Gesundheitsämter, bezogen auf die Gesamtbevölkerungszahl zum 31.12. jeden Jahres. Auf Bundesebene liegen aus anderer Datenquelle Zahlen im Rahmen der Gesundheitspersonalrechnung vor. Der vorliegende Indikator ist ein Strukturindikator.</w:t>
      </w:r>
    </w:p>
    <w:p w:rsidR="00F250EE" w:rsidRPr="004D18AA" w:rsidRDefault="00F250EE">
      <w:pPr>
        <w:rPr>
          <w:rFonts w:ascii="Arial" w:hAnsi="Arial" w:cs="Arial"/>
          <w:sz w:val="20"/>
        </w:rPr>
      </w:pPr>
    </w:p>
    <w:p w:rsidR="008037E3" w:rsidRPr="004D18AA" w:rsidRDefault="008037E3">
      <w:pPr>
        <w:rPr>
          <w:rFonts w:ascii="Arial" w:hAnsi="Arial" w:cs="Arial"/>
          <w:b/>
          <w:sz w:val="20"/>
        </w:rPr>
      </w:pPr>
      <w:r w:rsidRPr="004D18AA">
        <w:rPr>
          <w:rFonts w:ascii="Arial" w:hAnsi="Arial" w:cs="Arial"/>
          <w:b/>
          <w:sz w:val="20"/>
        </w:rPr>
        <w:t>Originalquellen</w:t>
      </w:r>
    </w:p>
    <w:p w:rsidR="008037E3" w:rsidRPr="004D18AA" w:rsidRDefault="00FE7728">
      <w:pPr>
        <w:numPr>
          <w:ilvl w:val="0"/>
          <w:numId w:val="4"/>
        </w:numPr>
        <w:rPr>
          <w:rFonts w:ascii="Arial" w:hAnsi="Arial" w:cs="Arial"/>
          <w:sz w:val="20"/>
        </w:rPr>
      </w:pPr>
      <w:r w:rsidRPr="004D18AA">
        <w:rPr>
          <w:rFonts w:ascii="Arial" w:hAnsi="Arial" w:cs="Arial"/>
          <w:sz w:val="20"/>
        </w:rPr>
        <w:t>Abfrage des LGL bei den Gesundheitsämtern</w:t>
      </w:r>
    </w:p>
    <w:p w:rsidR="008037E3" w:rsidRPr="004D18AA" w:rsidRDefault="008037E3">
      <w:pPr>
        <w:rPr>
          <w:rFonts w:ascii="Arial" w:hAnsi="Arial" w:cs="Arial"/>
          <w:sz w:val="20"/>
        </w:rPr>
      </w:pPr>
    </w:p>
    <w:p w:rsidR="008037E3" w:rsidRPr="004D18AA" w:rsidRDefault="000A34A2">
      <w:pPr>
        <w:pStyle w:val="Kopfzeile"/>
        <w:tabs>
          <w:tab w:val="clear" w:pos="4536"/>
          <w:tab w:val="clear" w:pos="9072"/>
        </w:tabs>
        <w:rPr>
          <w:rFonts w:ascii="Arial" w:hAnsi="Arial" w:cs="Arial"/>
          <w:sz w:val="20"/>
        </w:rPr>
      </w:pPr>
      <w:r w:rsidRPr="004D18AA">
        <w:rPr>
          <w:rFonts w:ascii="Arial" w:hAnsi="Arial" w:cs="Arial"/>
          <w:b/>
          <w:sz w:val="20"/>
        </w:rPr>
        <w:t>St</w:t>
      </w:r>
      <w:r w:rsidR="002F4B66" w:rsidRPr="004D18AA">
        <w:rPr>
          <w:rFonts w:ascii="Arial" w:hAnsi="Arial" w:cs="Arial"/>
          <w:b/>
          <w:sz w:val="20"/>
        </w:rPr>
        <w:t>and:</w:t>
      </w:r>
      <w:r w:rsidR="002F4B66" w:rsidRPr="004D18AA">
        <w:rPr>
          <w:rFonts w:ascii="Arial" w:hAnsi="Arial" w:cs="Arial"/>
          <w:sz w:val="20"/>
        </w:rPr>
        <w:t xml:space="preserve"> </w:t>
      </w:r>
      <w:r w:rsidR="001B4B1A">
        <w:rPr>
          <w:rFonts w:ascii="Arial" w:hAnsi="Arial" w:cs="Arial"/>
          <w:sz w:val="20"/>
        </w:rPr>
        <w:t>Mai 2023</w:t>
      </w:r>
    </w:p>
    <w:sectPr w:rsidR="008037E3" w:rsidRPr="004D18AA">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83" w:rsidRDefault="005B6683">
      <w:r>
        <w:separator/>
      </w:r>
    </w:p>
  </w:endnote>
  <w:endnote w:type="continuationSeparator" w:id="0">
    <w:p w:rsidR="005B6683" w:rsidRDefault="005B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C9" w:rsidRDefault="00B53E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C9" w:rsidRDefault="00B53E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E3" w:rsidRDefault="008037E3">
    <w:pPr>
      <w:pStyle w:val="Fuzeile"/>
      <w:rPr>
        <w:sz w:val="16"/>
      </w:rPr>
    </w:pP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83" w:rsidRDefault="005B6683">
      <w:r>
        <w:separator/>
      </w:r>
    </w:p>
  </w:footnote>
  <w:footnote w:type="continuationSeparator" w:id="0">
    <w:p w:rsidR="005B6683" w:rsidRDefault="005B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E3" w:rsidRDefault="008037E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037E3" w:rsidRDefault="008037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E3" w:rsidRDefault="008037E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8037E3" w:rsidRDefault="008037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C9" w:rsidRDefault="00B53E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00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1365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595CA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B1322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CB"/>
    <w:rsid w:val="00067CA1"/>
    <w:rsid w:val="000A34A2"/>
    <w:rsid w:val="000E74F9"/>
    <w:rsid w:val="001B4B1A"/>
    <w:rsid w:val="002F4B66"/>
    <w:rsid w:val="003219CF"/>
    <w:rsid w:val="00402A70"/>
    <w:rsid w:val="00405C0E"/>
    <w:rsid w:val="004D18AA"/>
    <w:rsid w:val="004E27E1"/>
    <w:rsid w:val="00545503"/>
    <w:rsid w:val="00547EAC"/>
    <w:rsid w:val="005B6683"/>
    <w:rsid w:val="006C6FC1"/>
    <w:rsid w:val="0073085D"/>
    <w:rsid w:val="008037E3"/>
    <w:rsid w:val="00906DEE"/>
    <w:rsid w:val="009E26CB"/>
    <w:rsid w:val="00AF556A"/>
    <w:rsid w:val="00B53EC9"/>
    <w:rsid w:val="00CA7CB1"/>
    <w:rsid w:val="00E27BAF"/>
    <w:rsid w:val="00E90D00"/>
    <w:rsid w:val="00E93FF8"/>
    <w:rsid w:val="00F250EE"/>
    <w:rsid w:val="00F41D76"/>
    <w:rsid w:val="00FE7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7C373"/>
  <w15:chartTrackingRefBased/>
  <w15:docId w15:val="{A5EB9F29-04AE-40F4-AD57-BC7EF1FE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i/>
    </w:rPr>
  </w:style>
  <w:style w:type="paragraph" w:styleId="Textkrper2">
    <w:name w:val="Body Text 2"/>
    <w:basedOn w:val="Standard"/>
    <w:pPr>
      <w:jc w:val="both"/>
    </w:pPr>
  </w:style>
  <w:style w:type="paragraph" w:styleId="Sprechblasentext">
    <w:name w:val="Balloon Text"/>
    <w:basedOn w:val="Standard"/>
    <w:semiHidden/>
    <w:rsid w:val="00FE7728"/>
    <w:rPr>
      <w:rFonts w:ascii="Tahoma" w:hAnsi="Tahoma" w:cs="Tahoma"/>
      <w:sz w:val="16"/>
      <w:szCs w:val="16"/>
    </w:rPr>
  </w:style>
  <w:style w:type="character" w:styleId="Kommentarzeichen">
    <w:name w:val="annotation reference"/>
    <w:uiPriority w:val="99"/>
    <w:semiHidden/>
    <w:unhideWhenUsed/>
    <w:rsid w:val="00E93FF8"/>
    <w:rPr>
      <w:sz w:val="16"/>
      <w:szCs w:val="16"/>
    </w:rPr>
  </w:style>
  <w:style w:type="paragraph" w:styleId="Kommentartext">
    <w:name w:val="annotation text"/>
    <w:basedOn w:val="Standard"/>
    <w:link w:val="KommentartextZchn"/>
    <w:uiPriority w:val="99"/>
    <w:semiHidden/>
    <w:unhideWhenUsed/>
    <w:rsid w:val="00E93FF8"/>
    <w:rPr>
      <w:sz w:val="20"/>
    </w:rPr>
  </w:style>
  <w:style w:type="character" w:customStyle="1" w:styleId="KommentartextZchn">
    <w:name w:val="Kommentartext Zchn"/>
    <w:basedOn w:val="Absatz-Standardschriftart"/>
    <w:link w:val="Kommentartext"/>
    <w:uiPriority w:val="99"/>
    <w:semiHidden/>
    <w:rsid w:val="00E93FF8"/>
  </w:style>
  <w:style w:type="paragraph" w:styleId="Kommentarthema">
    <w:name w:val="annotation subject"/>
    <w:basedOn w:val="Kommentartext"/>
    <w:next w:val="Kommentartext"/>
    <w:link w:val="KommentarthemaZchn"/>
    <w:uiPriority w:val="99"/>
    <w:semiHidden/>
    <w:unhideWhenUsed/>
    <w:rsid w:val="00E93FF8"/>
    <w:rPr>
      <w:b/>
      <w:bCs/>
    </w:rPr>
  </w:style>
  <w:style w:type="character" w:customStyle="1" w:styleId="KommentarthemaZchn">
    <w:name w:val="Kommentarthema Zchn"/>
    <w:link w:val="Kommentarthema"/>
    <w:uiPriority w:val="99"/>
    <w:semiHidden/>
    <w:rsid w:val="00E93FF8"/>
    <w:rPr>
      <w:b/>
      <w:bCs/>
    </w:rPr>
  </w:style>
  <w:style w:type="character" w:styleId="Hyperlink">
    <w:name w:val="Hyperlink"/>
    <w:uiPriority w:val="99"/>
    <w:unhideWhenUsed/>
    <w:rsid w:val="00E93FF8"/>
    <w:rPr>
      <w:color w:val="0563C1"/>
      <w:u w:val="single"/>
    </w:rPr>
  </w:style>
  <w:style w:type="character" w:styleId="BesuchterLink">
    <w:name w:val="FollowedHyperlink"/>
    <w:basedOn w:val="Absatz-Standardschriftart"/>
    <w:uiPriority w:val="99"/>
    <w:semiHidden/>
    <w:unhideWhenUsed/>
    <w:rsid w:val="006C6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Metadatenbeschreibung</vt:lpstr>
    </vt:vector>
  </TitlesOfParts>
  <Company>LÖGD</Company>
  <LinksUpToDate>false</LinksUpToDate>
  <CharactersWithSpaces>2235</CharactersWithSpaces>
  <SharedDoc>false</SharedDoc>
  <HLinks>
    <vt:vector size="6" baseType="variant">
      <vt:variant>
        <vt:i4>3211318</vt:i4>
      </vt:variant>
      <vt:variant>
        <vt:i4>0</vt:i4>
      </vt:variant>
      <vt:variant>
        <vt:i4>0</vt:i4>
      </vt:variant>
      <vt:variant>
        <vt:i4>5</vt:i4>
      </vt:variant>
      <vt:variant>
        <vt:lpwstr>https://www.gesetze-bayern.de/Content/Document/BayVwV235458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Metadatenbeschreibung</dc:title>
  <dc:subject/>
  <dc:creator>bardehle</dc:creator>
  <cp:keywords/>
  <dc:description/>
  <cp:lastModifiedBy>Zollikofer, Sylvia (LGL)</cp:lastModifiedBy>
  <cp:revision>2</cp:revision>
  <cp:lastPrinted>2006-11-08T12:08:00Z</cp:lastPrinted>
  <dcterms:created xsi:type="dcterms:W3CDTF">2023-05-24T06:57:00Z</dcterms:created>
  <dcterms:modified xsi:type="dcterms:W3CDTF">2023-05-24T06:57:00Z</dcterms:modified>
</cp:coreProperties>
</file>