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73" w:rsidRPr="00B37D3E" w:rsidRDefault="00401B73">
      <w:pPr>
        <w:pStyle w:val="Textkrper2"/>
        <w:rPr>
          <w:rFonts w:asciiTheme="minorHAnsi" w:hAnsiTheme="minorHAnsi" w:cstheme="minorHAnsi"/>
          <w:sz w:val="20"/>
        </w:rPr>
      </w:pPr>
      <w:bookmarkStart w:id="0" w:name="_GoBack"/>
      <w:bookmarkEnd w:id="0"/>
      <w:r w:rsidRPr="00B37D3E">
        <w:rPr>
          <w:rFonts w:asciiTheme="minorHAnsi" w:hAnsiTheme="minorHAnsi" w:cstheme="minorHAnsi"/>
          <w:sz w:val="20"/>
        </w:rPr>
        <w:t xml:space="preserve">Indikator 7.35 (L) </w:t>
      </w:r>
    </w:p>
    <w:p w:rsidR="00401B73" w:rsidRPr="00B37D3E" w:rsidRDefault="00401B73">
      <w:pPr>
        <w:pStyle w:val="Textkrper2"/>
        <w:rPr>
          <w:rFonts w:asciiTheme="minorHAnsi" w:hAnsiTheme="minorHAnsi" w:cstheme="minorHAnsi"/>
          <w:sz w:val="20"/>
        </w:rPr>
      </w:pPr>
      <w:r w:rsidRPr="00B37D3E">
        <w:rPr>
          <w:rFonts w:asciiTheme="minorHAnsi" w:hAnsiTheme="minorHAnsi" w:cstheme="minorHAnsi"/>
          <w:sz w:val="20"/>
        </w:rPr>
        <w:t>Von ambulanten Pflegeeinrichtungen betreute Pflegebedürftige nach Pflege</w:t>
      </w:r>
      <w:r w:rsidR="00B37D3E">
        <w:rPr>
          <w:rFonts w:asciiTheme="minorHAnsi" w:hAnsiTheme="minorHAnsi" w:cstheme="minorHAnsi"/>
          <w:sz w:val="20"/>
        </w:rPr>
        <w:t>graden</w:t>
      </w:r>
      <w:r w:rsidRPr="00B37D3E">
        <w:rPr>
          <w:rFonts w:asciiTheme="minorHAnsi" w:hAnsiTheme="minorHAnsi" w:cstheme="minorHAnsi"/>
          <w:sz w:val="20"/>
        </w:rPr>
        <w:t xml:space="preserve"> und Geschlecht, </w:t>
      </w:r>
      <w:r w:rsidR="00B37D3E">
        <w:rPr>
          <w:rFonts w:asciiTheme="minorHAnsi" w:hAnsiTheme="minorHAnsi" w:cstheme="minorHAnsi"/>
          <w:sz w:val="20"/>
        </w:rPr>
        <w:br/>
      </w:r>
      <w:r w:rsidRPr="00B37D3E">
        <w:rPr>
          <w:rFonts w:asciiTheme="minorHAnsi" w:hAnsiTheme="minorHAnsi" w:cstheme="minorHAnsi"/>
          <w:sz w:val="20"/>
        </w:rPr>
        <w:t>Land im Regionalvergleich, Jahr</w:t>
      </w:r>
    </w:p>
    <w:p w:rsidR="00401B73" w:rsidRPr="00B37D3E" w:rsidRDefault="00401B73">
      <w:pPr>
        <w:pStyle w:val="Textkrper2"/>
        <w:rPr>
          <w:rFonts w:asciiTheme="minorHAnsi" w:hAnsiTheme="minorHAnsi" w:cstheme="minorHAnsi"/>
          <w:b w:val="0"/>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Definition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Der Indikator gibt Auskunft über die absolute Zahl von Pflegebedürftigen, die von ambulanten Pflegeeinrichtungen betreut werden, und über die Verteilung der Pflegebedürftigen nach dem Grad der Pflegebedürftigkeit (Pflege</w:t>
      </w:r>
      <w:r w:rsidR="00B37D3E">
        <w:rPr>
          <w:rFonts w:asciiTheme="minorHAnsi" w:hAnsiTheme="minorHAnsi" w:cstheme="minorHAnsi"/>
          <w:sz w:val="20"/>
        </w:rPr>
        <w:t>grade</w:t>
      </w:r>
      <w:r w:rsidRPr="00B37D3E">
        <w:rPr>
          <w:rFonts w:asciiTheme="minorHAnsi" w:hAnsiTheme="minorHAnsi" w:cstheme="minorHAnsi"/>
          <w:sz w:val="20"/>
        </w:rPr>
        <w:t>). Einbezogen sind auch Pflegebedürftige, die Kombinationsleistungen in Anspruch nehmen, d. h. Pflegegeld beziehen und zusätzlich eine ambulante Pflegeeinrichtung in Anspruch nehmen. Dargestellt werden neben dem Landesergebnis auch die entsprechenden Zahlen für die einzelnen Regionen (Kreise, kreisfreie Städte, Regierungsbezirke und Stadtbezirke). Die Angaben erfolgen für Frauen und Männer getrennt.</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Als pflegebedürftig werden alle Personen erfasst, die aufgrund der Entscheidung der Pflegekasse bzw. privater Versicherungsunternehmen eine</w:t>
      </w:r>
      <w:r w:rsidR="00B37D3E">
        <w:rPr>
          <w:rFonts w:asciiTheme="minorHAnsi" w:hAnsiTheme="minorHAnsi" w:cstheme="minorHAnsi"/>
          <w:sz w:val="20"/>
        </w:rPr>
        <w:t>n</w:t>
      </w:r>
      <w:r w:rsidRPr="00B37D3E">
        <w:rPr>
          <w:rFonts w:asciiTheme="minorHAnsi" w:hAnsiTheme="minorHAnsi" w:cstheme="minorHAnsi"/>
          <w:sz w:val="20"/>
        </w:rPr>
        <w:t xml:space="preserve"> </w:t>
      </w:r>
      <w:r w:rsidR="00B37D3E">
        <w:rPr>
          <w:rFonts w:asciiTheme="minorHAnsi" w:hAnsiTheme="minorHAnsi" w:cstheme="minorHAnsi"/>
          <w:sz w:val="20"/>
        </w:rPr>
        <w:t>Pflegegrad 1 bis 5</w:t>
      </w:r>
      <w:r w:rsidRPr="00B37D3E">
        <w:rPr>
          <w:rFonts w:asciiTheme="minorHAnsi" w:hAnsiTheme="minorHAnsi" w:cstheme="minorHAnsi"/>
          <w:sz w:val="20"/>
        </w:rPr>
        <w:t xml:space="preserve"> (einschließlich Härtefälle) haben. Der Grad der Pflegebedürftigkeit wird unterschieden in: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1 (geringe Beeinträchtigung der Selbstständigkeit) sind Personen, die noch weitgehend selbständig den Alltag bewältigen und unter wenigen Krankheitssymptomen oder einer leichten Demenz leiden (Bewertungsskala bis 100 – benötigte Punktzahl: zwischen 12,5 und 27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2 (erhebliche Beeinträchtigung der Selbstständigkeit) sind Personen, die erhebliche Beeinträchtigungen in ihrer Selbstständigkeit haben, was die körperlichen und/oder die kognitiven Bereiche oder auch den psychischen Bereich, betrifft. (Bewertungsskala bis 100 – benötigte Punktzahl: zwischen 27 und 47,5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3 (schwer Pflegebedürftige), sind Personen, die eine schwerwiegende Beeinträchtigung der Selbstständigkeit haben (Bewertungsskala bis 100 – benötigte Punktzahl: zwischen 47,5 und 70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4 (</w:t>
      </w:r>
      <w:proofErr w:type="spellStart"/>
      <w:r w:rsidRPr="00B01653">
        <w:rPr>
          <w:rFonts w:asciiTheme="minorHAnsi" w:hAnsiTheme="minorHAnsi" w:cstheme="minorHAnsi"/>
          <w:sz w:val="20"/>
          <w:szCs w:val="20"/>
        </w:rPr>
        <w:t>schwerst</w:t>
      </w:r>
      <w:proofErr w:type="spellEnd"/>
      <w:r w:rsidRPr="00B01653">
        <w:rPr>
          <w:rFonts w:asciiTheme="minorHAnsi" w:hAnsiTheme="minorHAnsi" w:cstheme="minorHAnsi"/>
          <w:sz w:val="20"/>
          <w:szCs w:val="20"/>
        </w:rPr>
        <w:t xml:space="preserve"> Pflegebedürftige), sind Personen, welche eine schwerste Beeinträchtigung der Selbstständigkeit haben (Bewertungsskala bis 100 – benötigte Punktzahl: zwischen 70 und 90 Punkten).</w:t>
      </w:r>
    </w:p>
    <w:p w:rsidR="00B37D3E" w:rsidRPr="00B01653" w:rsidRDefault="00B37D3E" w:rsidP="00B37D3E">
      <w:pPr>
        <w:numPr>
          <w:ilvl w:val="0"/>
          <w:numId w:val="6"/>
        </w:numPr>
        <w:rPr>
          <w:rFonts w:asciiTheme="minorHAnsi" w:hAnsiTheme="minorHAnsi" w:cstheme="minorHAnsi"/>
          <w:sz w:val="20"/>
          <w:szCs w:val="20"/>
        </w:rPr>
      </w:pPr>
      <w:r w:rsidRPr="00B01653">
        <w:rPr>
          <w:rFonts w:asciiTheme="minorHAnsi" w:hAnsiTheme="minorHAnsi" w:cstheme="minorHAnsi"/>
          <w:sz w:val="20"/>
          <w:szCs w:val="20"/>
        </w:rPr>
        <w:t>Pflegebedürftige des Pflegegrades 5 (</w:t>
      </w:r>
      <w:proofErr w:type="spellStart"/>
      <w:r w:rsidRPr="00B01653">
        <w:rPr>
          <w:rFonts w:asciiTheme="minorHAnsi" w:hAnsiTheme="minorHAnsi" w:cstheme="minorHAnsi"/>
          <w:sz w:val="20"/>
          <w:szCs w:val="20"/>
        </w:rPr>
        <w:t>schwerst</w:t>
      </w:r>
      <w:proofErr w:type="spellEnd"/>
      <w:r w:rsidRPr="00B01653">
        <w:rPr>
          <w:rFonts w:asciiTheme="minorHAnsi" w:hAnsiTheme="minorHAnsi" w:cstheme="minorHAnsi"/>
          <w:sz w:val="20"/>
          <w:szCs w:val="20"/>
        </w:rPr>
        <w:t xml:space="preserve"> Pflegebedürftige mit besonderen Anforderungen an die pflegerische Versorgung), sind Personen, die schwerste Beeinträchtigungen der Selbstständigkeit mit besonderen Anforderungen für die pflegerische Versorgung haben (Bewertungsskala bis 100 – benötigte Punktzahl: zwischen 90 und 100 Punkten)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Ambulante Pflegeeinrichtungen (Pflegedienste) sind Einrichtungen, die unter ständiger Verantwortung einer ausgebildeten Pflegefachkraft Pflegebedürftige in ihrer Wohnung pflegen und hauswirtschaftlich versorgen.</w:t>
      </w:r>
    </w:p>
    <w:p w:rsidR="00B37D3E" w:rsidRPr="00967FE5" w:rsidRDefault="00B37D3E" w:rsidP="00B37D3E">
      <w:pPr>
        <w:rPr>
          <w:rFonts w:asciiTheme="minorHAnsi" w:hAnsiTheme="minorHAnsi" w:cstheme="minorHAnsi"/>
          <w:sz w:val="20"/>
          <w:lang w:val="it-IT"/>
        </w:rPr>
      </w:pPr>
      <w:proofErr w:type="spellStart"/>
      <w:r w:rsidRPr="009231FC">
        <w:rPr>
          <w:rFonts w:asciiTheme="minorHAnsi" w:hAnsiTheme="minorHAnsi" w:cstheme="minorHAnsi"/>
          <w:sz w:val="20"/>
          <w:lang w:val="it-IT"/>
        </w:rPr>
        <w:t>Rechtsgrundlage</w:t>
      </w:r>
      <w:proofErr w:type="spellEnd"/>
      <w:r>
        <w:rPr>
          <w:rFonts w:asciiTheme="minorHAnsi" w:hAnsiTheme="minorHAnsi" w:cstheme="minorHAnsi"/>
          <w:sz w:val="20"/>
          <w:lang w:val="it-IT"/>
        </w:rPr>
        <w:t xml:space="preserve"> für die </w:t>
      </w:r>
      <w:proofErr w:type="spellStart"/>
      <w:r>
        <w:rPr>
          <w:rFonts w:asciiTheme="minorHAnsi" w:hAnsiTheme="minorHAnsi" w:cstheme="minorHAnsi"/>
          <w:sz w:val="20"/>
          <w:lang w:val="it-IT"/>
        </w:rPr>
        <w:t>Pflege</w:t>
      </w:r>
      <w:r w:rsidRPr="009231FC">
        <w:rPr>
          <w:rFonts w:asciiTheme="minorHAnsi" w:hAnsiTheme="minorHAnsi" w:cstheme="minorHAnsi"/>
          <w:sz w:val="20"/>
          <w:lang w:val="it-IT"/>
        </w:rPr>
        <w:t>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bildet</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Durchführung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Bundesstatistik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Pflegeeinrichtungen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sowie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häusliche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Pflegestatistik</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PflegeStatV</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29. </w:t>
      </w:r>
      <w:proofErr w:type="spellStart"/>
      <w:r w:rsidRPr="009231FC">
        <w:rPr>
          <w:rFonts w:asciiTheme="minorHAnsi" w:hAnsiTheme="minorHAnsi" w:cstheme="minorHAnsi"/>
          <w:sz w:val="20"/>
          <w:lang w:val="it-IT"/>
        </w:rPr>
        <w:t>November</w:t>
      </w:r>
      <w:proofErr w:type="spellEnd"/>
      <w:r w:rsidRPr="009231FC">
        <w:rPr>
          <w:rFonts w:asciiTheme="minorHAnsi" w:hAnsiTheme="minorHAnsi" w:cstheme="minorHAnsi"/>
          <w:sz w:val="20"/>
          <w:lang w:val="it-IT"/>
        </w:rPr>
        <w:t xml:space="preserve"> 1999 (BGBI. I S. 2282) </w:t>
      </w:r>
      <w:proofErr w:type="spellStart"/>
      <w:r w:rsidRPr="009231FC">
        <w:rPr>
          <w:rFonts w:asciiTheme="minorHAnsi" w:hAnsiTheme="minorHAnsi" w:cstheme="minorHAnsi"/>
          <w:sz w:val="20"/>
          <w:lang w:val="it-IT"/>
        </w:rPr>
        <w:t>nach</w:t>
      </w:r>
      <w:proofErr w:type="spellEnd"/>
      <w:r w:rsidRPr="009231FC">
        <w:rPr>
          <w:rFonts w:asciiTheme="minorHAnsi" w:hAnsiTheme="minorHAnsi" w:cstheme="minorHAnsi"/>
          <w:sz w:val="20"/>
          <w:lang w:val="it-IT"/>
        </w:rPr>
        <w:t xml:space="preserve"> §109 </w:t>
      </w:r>
      <w:proofErr w:type="spellStart"/>
      <w:r w:rsidRPr="009231FC">
        <w:rPr>
          <w:rFonts w:asciiTheme="minorHAnsi" w:hAnsiTheme="minorHAnsi" w:cstheme="minorHAnsi"/>
          <w:sz w:val="20"/>
          <w:lang w:val="it-IT"/>
        </w:rPr>
        <w:t>Abs</w:t>
      </w:r>
      <w:proofErr w:type="spellEnd"/>
      <w:r w:rsidRPr="009231FC">
        <w:rPr>
          <w:rFonts w:asciiTheme="minorHAnsi" w:hAnsiTheme="minorHAnsi" w:cstheme="minorHAnsi"/>
          <w:sz w:val="20"/>
          <w:lang w:val="it-IT"/>
        </w:rPr>
        <w:t xml:space="preserve">. 1 </w:t>
      </w:r>
      <w:proofErr w:type="spellStart"/>
      <w:r w:rsidRPr="009231FC">
        <w:rPr>
          <w:rFonts w:asciiTheme="minorHAnsi" w:hAnsiTheme="minorHAnsi" w:cstheme="minorHAnsi"/>
          <w:sz w:val="20"/>
          <w:lang w:val="it-IT"/>
        </w:rPr>
        <w:t>des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Elften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Buches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Sozialgesetzbuch</w:t>
      </w:r>
      <w:proofErr w:type="spellEnd"/>
      <w:r w:rsidRPr="009231FC">
        <w:rPr>
          <w:rFonts w:asciiTheme="minorHAnsi" w:hAnsiTheme="minorHAnsi" w:cstheme="minorHAnsi"/>
          <w:sz w:val="20"/>
          <w:lang w:val="it-IT"/>
        </w:rPr>
        <w:t xml:space="preserve"> – </w:t>
      </w:r>
      <w:proofErr w:type="spellStart"/>
      <w:r w:rsidRPr="009231FC">
        <w:rPr>
          <w:rFonts w:asciiTheme="minorHAnsi" w:hAnsiTheme="minorHAnsi" w:cstheme="minorHAnsi"/>
          <w:sz w:val="20"/>
          <w:lang w:val="it-IT"/>
        </w:rPr>
        <w:t>Soziale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Pflegeversicherung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w:t>
      </w:r>
      <w:proofErr w:type="spellEnd"/>
      <w:r w:rsidRPr="009231FC">
        <w:rPr>
          <w:rFonts w:asciiTheme="minorHAnsi" w:hAnsiTheme="minorHAnsi" w:cstheme="minorHAnsi"/>
          <w:sz w:val="20"/>
          <w:lang w:val="it-IT"/>
        </w:rPr>
        <w:t xml:space="preserve"> VG)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26. Mai 1994 (BGBI. I S. 1014, 1015, 2797), </w:t>
      </w:r>
      <w:proofErr w:type="spellStart"/>
      <w:r w:rsidRPr="009231FC">
        <w:rPr>
          <w:rFonts w:asciiTheme="minorHAnsi" w:hAnsiTheme="minorHAnsi" w:cstheme="minorHAnsi"/>
          <w:sz w:val="20"/>
          <w:lang w:val="it-IT"/>
        </w:rPr>
        <w:t>das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zuletzt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Artikel</w:t>
      </w:r>
      <w:proofErr w:type="spellEnd"/>
      <w:r w:rsidRPr="009231FC">
        <w:rPr>
          <w:rFonts w:asciiTheme="minorHAnsi" w:hAnsiTheme="minorHAnsi" w:cstheme="minorHAnsi"/>
          <w:sz w:val="20"/>
          <w:lang w:val="it-IT"/>
        </w:rPr>
        <w:t xml:space="preserve"> 15 </w:t>
      </w:r>
      <w:proofErr w:type="spellStart"/>
      <w:r w:rsidRPr="009231FC">
        <w:rPr>
          <w:rFonts w:asciiTheme="minorHAnsi" w:hAnsiTheme="minorHAnsi" w:cstheme="minorHAnsi"/>
          <w:sz w:val="20"/>
          <w:lang w:val="it-IT"/>
        </w:rPr>
        <w:t>Drittes</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Pflegestärkungsgesetz</w:t>
      </w:r>
      <w:proofErr w:type="spellEnd"/>
      <w:r w:rsidRPr="009231FC">
        <w:rPr>
          <w:rFonts w:asciiTheme="minorHAnsi" w:hAnsiTheme="minorHAnsi" w:cstheme="minorHAnsi"/>
          <w:sz w:val="20"/>
          <w:lang w:val="it-IT"/>
        </w:rPr>
        <w:t xml:space="preserve"> (PSG III) G.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23. </w:t>
      </w:r>
      <w:proofErr w:type="spellStart"/>
      <w:r w:rsidRPr="009231FC">
        <w:rPr>
          <w:rFonts w:asciiTheme="minorHAnsi" w:hAnsiTheme="minorHAnsi" w:cstheme="minorHAnsi"/>
          <w:sz w:val="20"/>
          <w:lang w:val="it-IT"/>
        </w:rPr>
        <w:t>Dezember</w:t>
      </w:r>
      <w:proofErr w:type="spellEnd"/>
      <w:r w:rsidRPr="009231FC">
        <w:rPr>
          <w:rFonts w:asciiTheme="minorHAnsi" w:hAnsiTheme="minorHAnsi" w:cstheme="minorHAnsi"/>
          <w:sz w:val="20"/>
          <w:lang w:val="it-IT"/>
        </w:rPr>
        <w:t xml:space="preserve"> 2016 (BGBI I S. 3191, 2018 I 126) </w:t>
      </w:r>
      <w:proofErr w:type="spellStart"/>
      <w:r w:rsidRPr="009231FC">
        <w:rPr>
          <w:rFonts w:asciiTheme="minorHAnsi" w:hAnsiTheme="minorHAnsi" w:cstheme="minorHAnsi"/>
          <w:sz w:val="20"/>
          <w:lang w:val="it-IT"/>
        </w:rPr>
        <w:t>geändert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worden</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ist</w:t>
      </w:r>
      <w:proofErr w:type="spellEnd"/>
      <w:r w:rsidRPr="009231FC">
        <w:rPr>
          <w:rFonts w:asciiTheme="minorHAnsi" w:hAnsiTheme="minorHAnsi" w:cstheme="minorHAnsi"/>
          <w:sz w:val="20"/>
          <w:lang w:val="it-IT"/>
        </w:rPr>
        <w:t xml:space="preserve">, in </w:t>
      </w:r>
      <w:proofErr w:type="spellStart"/>
      <w:r w:rsidRPr="009231FC">
        <w:rPr>
          <w:rFonts w:asciiTheme="minorHAnsi" w:hAnsiTheme="minorHAnsi" w:cstheme="minorHAnsi"/>
          <w:sz w:val="20"/>
          <w:lang w:val="it-IT"/>
        </w:rPr>
        <w:t>Verbindung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mit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dem</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Gesetz</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über</w:t>
      </w:r>
      <w:proofErr w:type="spellEnd"/>
      <w:r w:rsidRPr="009231FC">
        <w:rPr>
          <w:rFonts w:asciiTheme="minorHAnsi" w:hAnsiTheme="minorHAnsi" w:cstheme="minorHAnsi"/>
          <w:sz w:val="20"/>
          <w:lang w:val="it-IT"/>
        </w:rPr>
        <w:t xml:space="preserve"> die </w:t>
      </w:r>
      <w:proofErr w:type="spellStart"/>
      <w:r w:rsidRPr="009231FC">
        <w:rPr>
          <w:rFonts w:asciiTheme="minorHAnsi" w:hAnsiTheme="minorHAnsi" w:cstheme="minorHAnsi"/>
          <w:sz w:val="20"/>
          <w:lang w:val="it-IT"/>
        </w:rPr>
        <w:t>Statistik</w:t>
      </w:r>
      <w:proofErr w:type="spellEnd"/>
      <w:r w:rsidRPr="009231FC">
        <w:rPr>
          <w:rFonts w:asciiTheme="minorHAnsi" w:hAnsiTheme="minorHAnsi" w:cstheme="minorHAnsi"/>
          <w:sz w:val="20"/>
          <w:lang w:val="it-IT"/>
        </w:rPr>
        <w:t xml:space="preserve"> für </w:t>
      </w:r>
      <w:proofErr w:type="spellStart"/>
      <w:r w:rsidRPr="009231FC">
        <w:rPr>
          <w:rFonts w:asciiTheme="minorHAnsi" w:hAnsiTheme="minorHAnsi" w:cstheme="minorHAnsi"/>
          <w:sz w:val="20"/>
          <w:lang w:val="it-IT"/>
        </w:rPr>
        <w:t>Bundeszwecke</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BstatG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22. </w:t>
      </w:r>
      <w:proofErr w:type="spellStart"/>
      <w:r w:rsidRPr="009231FC">
        <w:rPr>
          <w:rFonts w:asciiTheme="minorHAnsi" w:hAnsiTheme="minorHAnsi" w:cstheme="minorHAnsi"/>
          <w:sz w:val="20"/>
          <w:lang w:val="it-IT"/>
        </w:rPr>
        <w:t>Januar</w:t>
      </w:r>
      <w:proofErr w:type="spellEnd"/>
      <w:r w:rsidRPr="009231FC">
        <w:rPr>
          <w:rFonts w:asciiTheme="minorHAnsi" w:hAnsiTheme="minorHAnsi" w:cstheme="minorHAnsi"/>
          <w:sz w:val="20"/>
          <w:lang w:val="it-IT"/>
        </w:rPr>
        <w:t xml:space="preserve"> 1987 (BGBI. I S. 565), </w:t>
      </w:r>
      <w:proofErr w:type="spellStart"/>
      <w:r w:rsidRPr="009231FC">
        <w:rPr>
          <w:rFonts w:asciiTheme="minorHAnsi" w:hAnsiTheme="minorHAnsi" w:cstheme="minorHAnsi"/>
          <w:sz w:val="20"/>
          <w:lang w:val="it-IT"/>
        </w:rPr>
        <w:t>zuletzt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geändert</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durch</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Artikel</w:t>
      </w:r>
      <w:proofErr w:type="spellEnd"/>
      <w:r w:rsidRPr="009231FC">
        <w:rPr>
          <w:rFonts w:asciiTheme="minorHAnsi" w:hAnsiTheme="minorHAnsi" w:cstheme="minorHAnsi"/>
          <w:sz w:val="20"/>
          <w:lang w:val="it-IT"/>
        </w:rPr>
        <w:t xml:space="preserve"> 1 </w:t>
      </w:r>
      <w:proofErr w:type="spellStart"/>
      <w:r w:rsidRPr="009231FC">
        <w:rPr>
          <w:rFonts w:asciiTheme="minorHAnsi" w:hAnsiTheme="minorHAnsi" w:cstheme="minorHAnsi"/>
          <w:sz w:val="20"/>
          <w:lang w:val="it-IT"/>
        </w:rPr>
        <w:t>Verordnung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zur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Änderung</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der</w:t>
      </w:r>
      <w:proofErr w:type="spellEnd"/>
      <w:r w:rsidRPr="009231FC">
        <w:rPr>
          <w:rFonts w:asciiTheme="minorHAnsi" w:hAnsiTheme="minorHAnsi" w:cstheme="minorHAnsi"/>
          <w:sz w:val="20"/>
          <w:lang w:val="it-IT"/>
        </w:rPr>
        <w:t xml:space="preserve"> </w:t>
      </w:r>
      <w:proofErr w:type="spellStart"/>
      <w:r w:rsidRPr="009231FC">
        <w:rPr>
          <w:rFonts w:asciiTheme="minorHAnsi" w:hAnsiTheme="minorHAnsi" w:cstheme="minorHAnsi"/>
          <w:sz w:val="20"/>
          <w:lang w:val="it-IT"/>
        </w:rPr>
        <w:t>Pflegestatistik-Verordnung</w:t>
      </w:r>
      <w:proofErr w:type="spellEnd"/>
      <w:r w:rsidRPr="009231FC">
        <w:rPr>
          <w:rFonts w:asciiTheme="minorHAnsi" w:hAnsiTheme="minorHAnsi" w:cstheme="minorHAnsi"/>
          <w:sz w:val="20"/>
          <w:lang w:val="it-IT"/>
        </w:rPr>
        <w:t xml:space="preserve"> V </w:t>
      </w:r>
      <w:proofErr w:type="spellStart"/>
      <w:r w:rsidRPr="009231FC">
        <w:rPr>
          <w:rFonts w:asciiTheme="minorHAnsi" w:hAnsiTheme="minorHAnsi" w:cstheme="minorHAnsi"/>
          <w:sz w:val="20"/>
          <w:lang w:val="it-IT"/>
        </w:rPr>
        <w:t>vom</w:t>
      </w:r>
      <w:proofErr w:type="spellEnd"/>
      <w:r w:rsidRPr="009231FC">
        <w:rPr>
          <w:rFonts w:asciiTheme="minorHAnsi" w:hAnsiTheme="minorHAnsi" w:cstheme="minorHAnsi"/>
          <w:sz w:val="20"/>
          <w:lang w:val="it-IT"/>
        </w:rPr>
        <w:t xml:space="preserve"> 19. </w:t>
      </w:r>
      <w:proofErr w:type="spellStart"/>
      <w:r w:rsidRPr="009231FC">
        <w:rPr>
          <w:rFonts w:asciiTheme="minorHAnsi" w:hAnsiTheme="minorHAnsi" w:cstheme="minorHAnsi"/>
          <w:sz w:val="20"/>
          <w:lang w:val="it-IT"/>
        </w:rPr>
        <w:t>Juli</w:t>
      </w:r>
      <w:proofErr w:type="spellEnd"/>
      <w:r w:rsidRPr="009231FC">
        <w:rPr>
          <w:rFonts w:asciiTheme="minorHAnsi" w:hAnsiTheme="minorHAnsi" w:cstheme="minorHAnsi"/>
          <w:sz w:val="20"/>
          <w:lang w:val="it-IT"/>
        </w:rPr>
        <w:t xml:space="preserve"> 2013 (BGBI. I S. 2581)</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 xml:space="preserve">Auskunftspflichtig sind die Träger der ambulanten Pflegeeinrichtungen (Pflegedienste), mit denen ein Versorgungsvertrag gemäß SGB XI § 72 besteht bzw. die gemäß § 73 Abs. 3 und 4 Bestandsschutz genießen und danach zugelassen sind. </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Datenhalter</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Statistische Landesämter</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Datenquelle</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 xml:space="preserve">Pflegestatistik </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Periodizität</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 xml:space="preserve">Zweijährlich, </w:t>
      </w:r>
      <w:r w:rsidR="00B37D3E">
        <w:rPr>
          <w:rFonts w:asciiTheme="minorHAnsi" w:hAnsiTheme="minorHAnsi" w:cstheme="minorHAnsi"/>
          <w:sz w:val="20"/>
        </w:rPr>
        <w:t xml:space="preserve">ST </w:t>
      </w:r>
      <w:r w:rsidRPr="00B37D3E">
        <w:rPr>
          <w:rFonts w:asciiTheme="minorHAnsi" w:hAnsiTheme="minorHAnsi" w:cstheme="minorHAnsi"/>
          <w:sz w:val="20"/>
        </w:rPr>
        <w:t>15.12.; erstmalig 1999</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Validität</w:t>
      </w:r>
    </w:p>
    <w:p w:rsidR="00401B73" w:rsidRPr="00B37D3E" w:rsidRDefault="00B37D3E">
      <w:pPr>
        <w:rPr>
          <w:rFonts w:asciiTheme="minorHAnsi" w:hAnsiTheme="minorHAnsi" w:cstheme="minorHAnsi"/>
          <w:sz w:val="20"/>
        </w:rPr>
      </w:pPr>
      <w:r w:rsidRPr="00967FE5">
        <w:rPr>
          <w:rFonts w:asciiTheme="minorHAnsi" w:hAnsiTheme="minorHAnsi" w:cstheme="minorHAnsi"/>
          <w:sz w:val="20"/>
        </w:rPr>
        <w:t>Bei der Pflegestatistik handelt es sich um eine Totalerhebung mit Auskunftspflicht. Schwierigkeiten bei dem Erreichen einer hohen Datenqualität kann es dadurch geben, dass es sich um eine Datenerhebung bei einer Vielzahl von Auskunftspflichtigen handelt, die sich durch das Ausscheiden oder durch das Gründen neuer Pflegeeinrichtungen ständig verändert</w:t>
      </w:r>
      <w:r w:rsidR="00401B73" w:rsidRPr="00B37D3E">
        <w:rPr>
          <w:rFonts w:asciiTheme="minorHAnsi" w:hAnsiTheme="minorHAnsi" w:cstheme="minorHAnsi"/>
          <w:sz w:val="20"/>
        </w:rPr>
        <w:t xml:space="preserve">. </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Kommentar</w:t>
      </w:r>
    </w:p>
    <w:p w:rsidR="00401B73" w:rsidRPr="00B37D3E" w:rsidRDefault="00401B73">
      <w:pPr>
        <w:pStyle w:val="Textkrper"/>
        <w:rPr>
          <w:rFonts w:asciiTheme="minorHAnsi" w:hAnsiTheme="minorHAnsi" w:cstheme="minorHAnsi"/>
        </w:rPr>
      </w:pPr>
      <w:r w:rsidRPr="00B37D3E">
        <w:rPr>
          <w:rFonts w:asciiTheme="minorHAnsi" w:hAnsiTheme="minorHAnsi" w:cstheme="minorHAnsi"/>
        </w:rPr>
        <w:t>Der Anteil der Personen, der Kombinationsleistungen in Anspruch nimmt, kann in dem vorliegenden Indikator nicht gesondert ausgewiesen werden.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Der Indikator zählt zu den Prozessindikatoren.</w:t>
      </w:r>
    </w:p>
    <w:p w:rsidR="00401B73" w:rsidRPr="00B37D3E" w:rsidRDefault="00401B73">
      <w:pPr>
        <w:rPr>
          <w:rFonts w:asciiTheme="minorHAnsi" w:hAnsiTheme="minorHAnsi" w:cstheme="minorHAnsi"/>
          <w:sz w:val="20"/>
        </w:rPr>
      </w:pPr>
    </w:p>
    <w:p w:rsidR="00AB1DBE" w:rsidRPr="00B37D3E" w:rsidRDefault="00AB1DBE">
      <w:pPr>
        <w:rPr>
          <w:rFonts w:asciiTheme="minorHAnsi" w:hAnsiTheme="minorHAnsi" w:cstheme="minorHAnsi"/>
          <w:b/>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Vergleichbarkeit</w:t>
      </w:r>
    </w:p>
    <w:p w:rsidR="00401B73" w:rsidRPr="00B37D3E" w:rsidRDefault="00401B73">
      <w:pPr>
        <w:pStyle w:val="Textkrper"/>
        <w:rPr>
          <w:rFonts w:asciiTheme="minorHAnsi" w:hAnsiTheme="minorHAnsi" w:cstheme="minorHAnsi"/>
        </w:rPr>
      </w:pPr>
      <w:r w:rsidRPr="00B37D3E">
        <w:rPr>
          <w:rFonts w:asciiTheme="minorHAnsi" w:hAnsiTheme="minorHAnsi" w:cstheme="minorHAnsi"/>
        </w:rPr>
        <w:t xml:space="preserve">Es gibt keine vergleichbaren </w:t>
      </w:r>
      <w:r w:rsidR="00AB1DBE" w:rsidRPr="00B37D3E">
        <w:rPr>
          <w:rFonts w:asciiTheme="minorHAnsi" w:hAnsiTheme="minorHAnsi" w:cstheme="minorHAnsi"/>
        </w:rPr>
        <w:t>WHO-, OECD- und EU-Indikatoren.</w:t>
      </w:r>
    </w:p>
    <w:p w:rsidR="00401B73" w:rsidRPr="00B37D3E" w:rsidRDefault="00401B73">
      <w:pPr>
        <w:rPr>
          <w:rFonts w:asciiTheme="minorHAnsi" w:hAnsiTheme="minorHAnsi" w:cstheme="minorHAnsi"/>
          <w:sz w:val="20"/>
        </w:rPr>
      </w:pPr>
    </w:p>
    <w:p w:rsidR="00401B73" w:rsidRPr="00B37D3E" w:rsidRDefault="00401B73">
      <w:pPr>
        <w:rPr>
          <w:rFonts w:asciiTheme="minorHAnsi" w:hAnsiTheme="minorHAnsi" w:cstheme="minorHAnsi"/>
          <w:b/>
          <w:sz w:val="20"/>
        </w:rPr>
      </w:pPr>
      <w:r w:rsidRPr="00B37D3E">
        <w:rPr>
          <w:rFonts w:asciiTheme="minorHAnsi" w:hAnsiTheme="minorHAnsi" w:cstheme="minorHAnsi"/>
          <w:b/>
          <w:sz w:val="20"/>
        </w:rPr>
        <w:t>Originalquellen</w:t>
      </w:r>
    </w:p>
    <w:p w:rsidR="00401B73" w:rsidRPr="00B37D3E" w:rsidRDefault="00401B73">
      <w:pPr>
        <w:rPr>
          <w:rFonts w:asciiTheme="minorHAnsi" w:hAnsiTheme="minorHAnsi" w:cstheme="minorHAnsi"/>
          <w:sz w:val="20"/>
        </w:rPr>
      </w:pPr>
      <w:r w:rsidRPr="00B37D3E">
        <w:rPr>
          <w:rFonts w:asciiTheme="minorHAnsi" w:hAnsiTheme="minorHAnsi" w:cstheme="minorHAnsi"/>
          <w:sz w:val="20"/>
        </w:rPr>
        <w:t>Publikationen der statistischen Landesämter im zweijährigen Rhythmus, z. B. in Statistischen Jahrbüchern oder Statistische Berichte über die Pflegestatistik.</w:t>
      </w:r>
    </w:p>
    <w:p w:rsidR="005C5CBB" w:rsidRPr="00B37D3E" w:rsidRDefault="005C5CBB">
      <w:pPr>
        <w:rPr>
          <w:rFonts w:asciiTheme="minorHAnsi" w:hAnsiTheme="minorHAnsi" w:cstheme="minorHAnsi"/>
          <w:sz w:val="20"/>
        </w:rPr>
      </w:pPr>
    </w:p>
    <w:p w:rsidR="005C5CBB" w:rsidRPr="00B37D3E" w:rsidRDefault="005C5CBB" w:rsidP="005C5CBB">
      <w:pPr>
        <w:rPr>
          <w:rFonts w:asciiTheme="minorHAnsi" w:hAnsiTheme="minorHAnsi" w:cstheme="minorHAnsi"/>
          <w:b/>
          <w:sz w:val="20"/>
        </w:rPr>
      </w:pPr>
      <w:r w:rsidRPr="00B37D3E">
        <w:rPr>
          <w:rFonts w:asciiTheme="minorHAnsi" w:hAnsiTheme="minorHAnsi" w:cstheme="minorHAnsi"/>
          <w:b/>
          <w:sz w:val="20"/>
        </w:rPr>
        <w:t xml:space="preserve">Stand </w:t>
      </w:r>
    </w:p>
    <w:p w:rsidR="00B37D3E" w:rsidRPr="00B37D3E" w:rsidRDefault="00B37D3E" w:rsidP="005C5CBB">
      <w:pPr>
        <w:rPr>
          <w:rFonts w:asciiTheme="minorHAnsi" w:hAnsiTheme="minorHAnsi" w:cstheme="minorHAnsi"/>
          <w:sz w:val="20"/>
        </w:rPr>
      </w:pPr>
      <w:r>
        <w:rPr>
          <w:rFonts w:asciiTheme="minorHAnsi" w:hAnsiTheme="minorHAnsi" w:cstheme="minorHAnsi"/>
          <w:sz w:val="20"/>
        </w:rPr>
        <w:t>Juli 2019</w:t>
      </w:r>
    </w:p>
    <w:p w:rsidR="005C5CBB" w:rsidRPr="00B37D3E" w:rsidRDefault="005C5CBB">
      <w:pPr>
        <w:rPr>
          <w:rFonts w:asciiTheme="minorHAnsi" w:hAnsiTheme="minorHAnsi" w:cstheme="minorHAnsi"/>
          <w:sz w:val="20"/>
        </w:rPr>
      </w:pPr>
    </w:p>
    <w:sectPr w:rsidR="005C5CBB" w:rsidRPr="00B37D3E">
      <w:headerReference w:type="even" r:id="rId7"/>
      <w:headerReference w:type="default" r:id="rId8"/>
      <w:footerReference w:type="even" r:id="rId9"/>
      <w:footerReference w:type="default" r:id="rId10"/>
      <w:headerReference w:type="first" r:id="rId11"/>
      <w:footerReference w:type="first" r:id="rId12"/>
      <w:pgSz w:w="11906" w:h="16838"/>
      <w:pgMar w:top="1134"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F7" w:rsidRDefault="00164CF7" w:rsidP="00164CF7">
      <w:r>
        <w:separator/>
      </w:r>
    </w:p>
  </w:endnote>
  <w:endnote w:type="continuationSeparator" w:id="0">
    <w:p w:rsidR="00164CF7" w:rsidRDefault="00164CF7" w:rsidP="0016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F7" w:rsidRDefault="00164CF7" w:rsidP="00164CF7">
      <w:r>
        <w:separator/>
      </w:r>
    </w:p>
  </w:footnote>
  <w:footnote w:type="continuationSeparator" w:id="0">
    <w:p w:rsidR="00164CF7" w:rsidRDefault="00164CF7" w:rsidP="00164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CF7" w:rsidRDefault="00164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84D"/>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1A61DB7"/>
    <w:multiLevelType w:val="hybridMultilevel"/>
    <w:tmpl w:val="6F127A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14820F1"/>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AD620F"/>
    <w:multiLevelType w:val="singleLevel"/>
    <w:tmpl w:val="D250032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61060FB"/>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434B56"/>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7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AA"/>
    <w:rsid w:val="00144FAA"/>
    <w:rsid w:val="00164CF7"/>
    <w:rsid w:val="00247B12"/>
    <w:rsid w:val="00401B73"/>
    <w:rsid w:val="005C5CBB"/>
    <w:rsid w:val="00AB1DBE"/>
    <w:rsid w:val="00B37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EF61684-7FF2-4B00-99D1-3DE75FF04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b/>
    </w:rPr>
  </w:style>
  <w:style w:type="paragraph" w:styleId="Kopfzeile">
    <w:name w:val="header"/>
    <w:basedOn w:val="Standard"/>
    <w:link w:val="KopfzeileZchn"/>
    <w:uiPriority w:val="99"/>
    <w:unhideWhenUsed/>
    <w:rsid w:val="00164CF7"/>
    <w:pPr>
      <w:tabs>
        <w:tab w:val="center" w:pos="4536"/>
        <w:tab w:val="right" w:pos="9072"/>
      </w:tabs>
    </w:pPr>
  </w:style>
  <w:style w:type="character" w:customStyle="1" w:styleId="KopfzeileZchn">
    <w:name w:val="Kopfzeile Zchn"/>
    <w:basedOn w:val="Absatz-Standardschriftart"/>
    <w:link w:val="Kopfzeile"/>
    <w:uiPriority w:val="99"/>
    <w:rsid w:val="00164CF7"/>
    <w:rPr>
      <w:sz w:val="24"/>
      <w:szCs w:val="24"/>
    </w:rPr>
  </w:style>
  <w:style w:type="paragraph" w:styleId="Fuzeile">
    <w:name w:val="footer"/>
    <w:basedOn w:val="Standard"/>
    <w:link w:val="FuzeileZchn"/>
    <w:uiPriority w:val="99"/>
    <w:unhideWhenUsed/>
    <w:rsid w:val="00164CF7"/>
    <w:pPr>
      <w:tabs>
        <w:tab w:val="center" w:pos="4536"/>
        <w:tab w:val="right" w:pos="9072"/>
      </w:tabs>
    </w:pPr>
  </w:style>
  <w:style w:type="character" w:customStyle="1" w:styleId="FuzeileZchn">
    <w:name w:val="Fußzeile Zchn"/>
    <w:basedOn w:val="Absatz-Standardschriftart"/>
    <w:link w:val="Fuzeile"/>
    <w:uiPriority w:val="99"/>
    <w:rsid w:val="00164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4078</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Zu Indikator 7</vt:lpstr>
    </vt:vector>
  </TitlesOfParts>
  <Company>Sozial Ministerium M-V</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7</dc:title>
  <dc:subject/>
  <dc:creator>Wagner</dc:creator>
  <cp:keywords/>
  <dc:description/>
  <cp:lastModifiedBy>Schwegler Dr., Ursula (LGL)</cp:lastModifiedBy>
  <cp:revision>2</cp:revision>
  <cp:lastPrinted>2007-11-13T10:48:00Z</cp:lastPrinted>
  <dcterms:created xsi:type="dcterms:W3CDTF">2019-07-18T11:27:00Z</dcterms:created>
  <dcterms:modified xsi:type="dcterms:W3CDTF">2019-07-18T11:27:00Z</dcterms:modified>
</cp:coreProperties>
</file>