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CEB" w:rsidRPr="00BE573A" w:rsidRDefault="00C02CA3">
      <w:pPr>
        <w:rPr>
          <w:rFonts w:ascii="Arial" w:hAnsi="Arial" w:cs="Arial"/>
          <w:b/>
        </w:rPr>
      </w:pPr>
      <w:r w:rsidRPr="00BE573A">
        <w:rPr>
          <w:rFonts w:ascii="Arial" w:hAnsi="Arial" w:cs="Arial"/>
          <w:b/>
        </w:rPr>
        <w:t>Indikator 7.16E</w:t>
      </w:r>
      <w:r w:rsidR="00AF2CEB" w:rsidRPr="00BE573A">
        <w:rPr>
          <w:rFonts w:ascii="Arial" w:hAnsi="Arial" w:cs="Arial"/>
          <w:b/>
        </w:rPr>
        <w:t xml:space="preserve"> (L)</w:t>
      </w:r>
    </w:p>
    <w:p w:rsidR="00AF2CEB" w:rsidRPr="00BE573A" w:rsidRDefault="007F5DDE">
      <w:pPr>
        <w:pStyle w:val="Textkrper2"/>
        <w:jc w:val="left"/>
        <w:rPr>
          <w:rFonts w:ascii="Arial" w:hAnsi="Arial" w:cs="Arial"/>
        </w:rPr>
      </w:pPr>
      <w:r w:rsidRPr="00BE573A">
        <w:rPr>
          <w:rFonts w:ascii="Arial" w:hAnsi="Arial" w:cs="Arial"/>
          <w:snapToGrid w:val="0"/>
        </w:rPr>
        <w:t xml:space="preserve">Beteiligung </w:t>
      </w:r>
      <w:r w:rsidR="00866C96" w:rsidRPr="00BE573A">
        <w:rPr>
          <w:rFonts w:ascii="Arial" w:hAnsi="Arial" w:cs="Arial"/>
          <w:snapToGrid w:val="0"/>
        </w:rPr>
        <w:t xml:space="preserve">von Frauen an Früherkennungsuntersuchung für </w:t>
      </w:r>
      <w:proofErr w:type="spellStart"/>
      <w:r w:rsidR="00866C96" w:rsidRPr="00BE573A">
        <w:rPr>
          <w:rFonts w:ascii="Arial" w:hAnsi="Arial" w:cs="Arial"/>
          <w:snapToGrid w:val="0"/>
        </w:rPr>
        <w:t>Zervixkarzinom</w:t>
      </w:r>
      <w:proofErr w:type="spellEnd"/>
      <w:r w:rsidR="00866C96" w:rsidRPr="00BE573A">
        <w:rPr>
          <w:rFonts w:ascii="Arial" w:hAnsi="Arial" w:cs="Arial"/>
          <w:snapToGrid w:val="0"/>
        </w:rPr>
        <w:t xml:space="preserve"> (ab dem Alter von 20 Jahren)</w:t>
      </w:r>
      <w:r w:rsidR="000E39D3" w:rsidRPr="00BE573A">
        <w:rPr>
          <w:rFonts w:ascii="Arial" w:hAnsi="Arial" w:cs="Arial"/>
          <w:snapToGrid w:val="0"/>
        </w:rPr>
        <w:t>, Land</w:t>
      </w:r>
      <w:r w:rsidR="00C02CA3" w:rsidRPr="00BE573A">
        <w:rPr>
          <w:rFonts w:ascii="Arial" w:hAnsi="Arial" w:cs="Arial"/>
          <w:snapToGrid w:val="0"/>
        </w:rPr>
        <w:t xml:space="preserve"> im Regionalvergleich</w:t>
      </w:r>
      <w:r w:rsidR="00292EC0" w:rsidRPr="00BE573A">
        <w:rPr>
          <w:rFonts w:ascii="Arial" w:hAnsi="Arial" w:cs="Arial"/>
          <w:snapToGrid w:val="0"/>
        </w:rPr>
        <w:t>, Jahr</w:t>
      </w:r>
    </w:p>
    <w:p w:rsidR="00AF2CEB" w:rsidRPr="00BE573A" w:rsidRDefault="00AF2CEB">
      <w:pPr>
        <w:rPr>
          <w:rFonts w:ascii="Arial" w:hAnsi="Arial" w:cs="Arial"/>
          <w:b/>
        </w:rPr>
      </w:pPr>
    </w:p>
    <w:p w:rsidR="00AF2CEB" w:rsidRPr="00BE573A" w:rsidRDefault="00AF2CEB">
      <w:pPr>
        <w:rPr>
          <w:rFonts w:ascii="Arial" w:hAnsi="Arial" w:cs="Arial"/>
          <w:b/>
        </w:rPr>
      </w:pPr>
      <w:r w:rsidRPr="00BE573A">
        <w:rPr>
          <w:rFonts w:ascii="Arial" w:hAnsi="Arial" w:cs="Arial"/>
          <w:b/>
        </w:rPr>
        <w:t>Definition</w:t>
      </w:r>
    </w:p>
    <w:p w:rsidR="00A35FB2" w:rsidRPr="00BE573A" w:rsidRDefault="00E131CE" w:rsidP="00A35FB2">
      <w:pPr>
        <w:pStyle w:val="Textkrper"/>
        <w:tabs>
          <w:tab w:val="left" w:pos="567"/>
          <w:tab w:val="left" w:pos="1418"/>
        </w:tabs>
        <w:jc w:val="left"/>
        <w:rPr>
          <w:rFonts w:ascii="Arial" w:hAnsi="Arial" w:cs="Arial"/>
        </w:rPr>
      </w:pPr>
      <w:r w:rsidRPr="00BE573A">
        <w:rPr>
          <w:rFonts w:ascii="Arial" w:hAnsi="Arial" w:cs="Arial"/>
        </w:rPr>
        <w:t xml:space="preserve">Früherkennungsuntersuchungen, in der Fachsprache Screening genannt, sind ein wichtiges Instrument der Sekundärprävention. Frauen können ab dem 20. Lebensjahr und Männer ab dem 35. Lebensjahr Krebsfrüherkennungsuntersuchungen wahrnehmen. </w:t>
      </w:r>
      <w:r w:rsidR="00A35FB2" w:rsidRPr="00BE573A">
        <w:rPr>
          <w:rFonts w:ascii="Arial" w:hAnsi="Arial" w:cs="Arial"/>
        </w:rPr>
        <w:t>Ab dem Alter von 20 Jahren haben Frauen einen Anspruch auf eine jährliche Früherkennungsuntersuchung auf Gebärmutterhalskrebs (</w:t>
      </w:r>
      <w:proofErr w:type="spellStart"/>
      <w:r w:rsidR="00A35FB2" w:rsidRPr="00BE573A">
        <w:rPr>
          <w:rFonts w:ascii="Arial" w:hAnsi="Arial" w:cs="Arial"/>
        </w:rPr>
        <w:t>Zervixkarzinom</w:t>
      </w:r>
      <w:proofErr w:type="spellEnd"/>
      <w:r w:rsidR="00A35FB2" w:rsidRPr="00BE573A">
        <w:rPr>
          <w:rFonts w:ascii="Arial" w:hAnsi="Arial" w:cs="Arial"/>
        </w:rPr>
        <w:t xml:space="preserve">). Ziel des Screenings ist es, Krebsvorstufen zu erkennen, bevor Beschwerden auftreten. </w:t>
      </w:r>
      <w:r w:rsidR="008D149B" w:rsidRPr="00BE573A">
        <w:rPr>
          <w:rFonts w:ascii="Arial" w:hAnsi="Arial" w:cs="Arial"/>
        </w:rPr>
        <w:t>Die Früherkennungsuntersuchung ist umso bedeutsamer, d</w:t>
      </w:r>
      <w:r w:rsidR="00A35FB2" w:rsidRPr="00BE573A">
        <w:rPr>
          <w:rFonts w:ascii="Arial" w:hAnsi="Arial" w:cs="Arial"/>
        </w:rPr>
        <w:t xml:space="preserve">a </w:t>
      </w:r>
      <w:proofErr w:type="spellStart"/>
      <w:r w:rsidR="00A35FB2" w:rsidRPr="00BE573A">
        <w:rPr>
          <w:rFonts w:ascii="Arial" w:hAnsi="Arial" w:cs="Arial"/>
        </w:rPr>
        <w:t>Zervixkarzinome</w:t>
      </w:r>
      <w:proofErr w:type="spellEnd"/>
      <w:r w:rsidR="00A35FB2" w:rsidRPr="00BE573A">
        <w:rPr>
          <w:rFonts w:ascii="Arial" w:hAnsi="Arial" w:cs="Arial"/>
        </w:rPr>
        <w:t xml:space="preserve"> erst in späteren S</w:t>
      </w:r>
      <w:r w:rsidR="008D149B" w:rsidRPr="00BE573A">
        <w:rPr>
          <w:rFonts w:ascii="Arial" w:hAnsi="Arial" w:cs="Arial"/>
        </w:rPr>
        <w:t>tadien Symptome verursachen.</w:t>
      </w:r>
    </w:p>
    <w:p w:rsidR="00E131CE" w:rsidRPr="00BE573A" w:rsidRDefault="00E131CE">
      <w:pPr>
        <w:pStyle w:val="Textkrper"/>
        <w:tabs>
          <w:tab w:val="left" w:pos="567"/>
          <w:tab w:val="left" w:pos="1418"/>
        </w:tabs>
        <w:jc w:val="left"/>
        <w:rPr>
          <w:rFonts w:ascii="Arial" w:hAnsi="Arial" w:cs="Arial"/>
        </w:rPr>
      </w:pPr>
    </w:p>
    <w:p w:rsidR="00A35FB2" w:rsidRPr="00BE573A" w:rsidRDefault="00A35FB2" w:rsidP="00A35FB2">
      <w:pPr>
        <w:rPr>
          <w:rFonts w:ascii="Arial" w:hAnsi="Arial" w:cs="Arial"/>
        </w:rPr>
      </w:pPr>
      <w:r w:rsidRPr="00BE573A">
        <w:rPr>
          <w:rFonts w:ascii="Arial" w:hAnsi="Arial" w:cs="Arial"/>
        </w:rPr>
        <w:t xml:space="preserve">Der Indikator 7.16E beruht auf Abrechnungszahlen der Kassenärztlichen Vereinigung Bayerns (KVB). Die Basis für die Berechnung der Beteiligung von Frauen Früherkennungsuntersuchungen für </w:t>
      </w:r>
      <w:proofErr w:type="spellStart"/>
      <w:r w:rsidRPr="00BE573A">
        <w:rPr>
          <w:rFonts w:ascii="Arial" w:hAnsi="Arial" w:cs="Arial"/>
        </w:rPr>
        <w:t>Zervixkarzinom</w:t>
      </w:r>
      <w:proofErr w:type="spellEnd"/>
      <w:r w:rsidRPr="00BE573A">
        <w:rPr>
          <w:rFonts w:ascii="Arial" w:hAnsi="Arial" w:cs="Arial"/>
        </w:rPr>
        <w:t xml:space="preserve"> sind die in der Gesetzlichen Krankenversicherung (GKV) versicherten Frauen </w:t>
      </w:r>
      <w:r w:rsidR="00E77344" w:rsidRPr="00BE573A">
        <w:rPr>
          <w:rFonts w:ascii="Arial" w:hAnsi="Arial" w:cs="Arial"/>
        </w:rPr>
        <w:t>ab dem Alter von 20 Jahren</w:t>
      </w:r>
      <w:r w:rsidRPr="00BE573A">
        <w:rPr>
          <w:rFonts w:ascii="Arial" w:hAnsi="Arial" w:cs="Arial"/>
        </w:rPr>
        <w:t>, deren Zahl</w:t>
      </w:r>
      <w:r w:rsidR="00BE573A">
        <w:rPr>
          <w:rFonts w:ascii="Arial" w:hAnsi="Arial" w:cs="Arial"/>
        </w:rPr>
        <w:t xml:space="preserve"> auf Kreisebene</w:t>
      </w:r>
      <w:r w:rsidRPr="00BE573A">
        <w:rPr>
          <w:rFonts w:ascii="Arial" w:hAnsi="Arial" w:cs="Arial"/>
        </w:rPr>
        <w:t xml:space="preserve"> jedoch unbekannt ist und daher näherungsweise über die „GKV-versicherten Patientinnen“ bestimmt wird. Eine GKV-versicherte Patientin ist definiert durch mindestens einen Arztkontakt in der ambulanten Versorgung im Abrechnungsjahr.</w:t>
      </w:r>
    </w:p>
    <w:p w:rsidR="00964FC5" w:rsidRPr="00BE573A" w:rsidRDefault="00964FC5" w:rsidP="00A35FB2">
      <w:pPr>
        <w:rPr>
          <w:rFonts w:ascii="Arial" w:hAnsi="Arial" w:cs="Arial"/>
        </w:rPr>
      </w:pPr>
    </w:p>
    <w:p w:rsidR="00964FC5" w:rsidRPr="00BE573A" w:rsidRDefault="009A79C4" w:rsidP="00964FC5">
      <w:pPr>
        <w:pStyle w:val="Textkrper"/>
        <w:tabs>
          <w:tab w:val="left" w:pos="567"/>
          <w:tab w:val="left" w:pos="1418"/>
        </w:tabs>
        <w:jc w:val="left"/>
        <w:rPr>
          <w:rFonts w:ascii="Arial" w:hAnsi="Arial" w:cs="Arial"/>
        </w:rPr>
      </w:pPr>
      <w:r w:rsidRPr="00BE573A">
        <w:rPr>
          <w:rFonts w:ascii="Arial" w:hAnsi="Arial" w:cs="Arial"/>
        </w:rPr>
        <w:t>Indikator 7.16E</w:t>
      </w:r>
      <w:r w:rsidR="00964FC5" w:rsidRPr="00BE573A">
        <w:rPr>
          <w:rFonts w:ascii="Arial" w:hAnsi="Arial" w:cs="Arial"/>
        </w:rPr>
        <w:t xml:space="preserve"> verwendet als Bezugsbasis Patientinnen ab dem Alter von </w:t>
      </w:r>
      <w:r w:rsidR="00710042" w:rsidRPr="00BE573A">
        <w:rPr>
          <w:rFonts w:ascii="Arial" w:hAnsi="Arial" w:cs="Arial"/>
        </w:rPr>
        <w:t>20</w:t>
      </w:r>
      <w:r w:rsidR="00964FC5" w:rsidRPr="00BE573A">
        <w:rPr>
          <w:rFonts w:ascii="Arial" w:hAnsi="Arial" w:cs="Arial"/>
        </w:rPr>
        <w:t xml:space="preserve"> Jahren mit mindestens einem Arztkontakt in der ambulanten Versorgung. </w:t>
      </w:r>
      <w:r w:rsidR="00B36B3C">
        <w:rPr>
          <w:rFonts w:ascii="Arial" w:hAnsi="Arial" w:cs="Arial"/>
        </w:rPr>
        <w:br/>
      </w:r>
      <w:r w:rsidR="00206C18" w:rsidRPr="00B36B3C">
        <w:rPr>
          <w:rFonts w:ascii="Arial" w:hAnsi="Arial" w:cs="Arial"/>
        </w:rPr>
        <w:t xml:space="preserve">Ab dem Kalenderjahr 2020 wird die vormals verwendete Abrechnungsziffer von GOP 01730 geändert auf die Ziffern GOP 01760 und GOP 01761. Dadurch ist der Indikator ab dem Jahr 2020 nur noch eingeschränkt vergleichbar zu den Vorjahren. </w:t>
      </w:r>
      <w:r w:rsidR="004A51A0" w:rsidRPr="00B36B3C">
        <w:rPr>
          <w:rFonts w:ascii="Arial" w:hAnsi="Arial" w:cs="Arial"/>
        </w:rPr>
        <w:br/>
      </w:r>
      <w:r w:rsidR="00206C18" w:rsidRPr="00B36B3C">
        <w:rPr>
          <w:rFonts w:ascii="Arial" w:hAnsi="Arial" w:cs="Arial"/>
        </w:rPr>
        <w:t xml:space="preserve">Die GOP 01760 </w:t>
      </w:r>
      <w:r w:rsidR="004A51A0" w:rsidRPr="00B36B3C">
        <w:rPr>
          <w:rFonts w:ascii="Arial" w:hAnsi="Arial" w:cs="Arial"/>
        </w:rPr>
        <w:t>„</w:t>
      </w:r>
      <w:r w:rsidR="00206C18" w:rsidRPr="00B36B3C">
        <w:rPr>
          <w:rFonts w:ascii="Arial" w:hAnsi="Arial" w:cs="Arial"/>
        </w:rPr>
        <w:t xml:space="preserve">Klinische Untersuchung ohne </w:t>
      </w:r>
      <w:proofErr w:type="spellStart"/>
      <w:r w:rsidR="00206C18" w:rsidRPr="00B36B3C">
        <w:rPr>
          <w:rFonts w:ascii="Arial" w:hAnsi="Arial" w:cs="Arial"/>
        </w:rPr>
        <w:t>Abstrichentnahme</w:t>
      </w:r>
      <w:proofErr w:type="spellEnd"/>
      <w:r w:rsidR="004A51A0" w:rsidRPr="00B36B3C">
        <w:rPr>
          <w:rFonts w:ascii="Arial" w:hAnsi="Arial" w:cs="Arial"/>
        </w:rPr>
        <w:t>“</w:t>
      </w:r>
      <w:r w:rsidR="00206C18" w:rsidRPr="00B36B3C">
        <w:rPr>
          <w:rFonts w:ascii="Arial" w:hAnsi="Arial" w:cs="Arial"/>
        </w:rPr>
        <w:t xml:space="preserve"> ist ab dem Alter von 20 Jahren berechnungsfähig</w:t>
      </w:r>
      <w:r w:rsidR="004A51A0" w:rsidRPr="00B36B3C">
        <w:rPr>
          <w:rFonts w:ascii="Arial" w:hAnsi="Arial" w:cs="Arial"/>
        </w:rPr>
        <w:t xml:space="preserve"> und wechselt sich mit der Abrechnungsziffer GOP 01761 „Klinische Untersuchung mit </w:t>
      </w:r>
      <w:proofErr w:type="spellStart"/>
      <w:r w:rsidR="004A51A0" w:rsidRPr="00B36B3C">
        <w:rPr>
          <w:rFonts w:ascii="Arial" w:hAnsi="Arial" w:cs="Arial"/>
        </w:rPr>
        <w:t>Abstrichentnahme</w:t>
      </w:r>
      <w:proofErr w:type="spellEnd"/>
      <w:r w:rsidR="004A51A0" w:rsidRPr="00B36B3C">
        <w:rPr>
          <w:rFonts w:ascii="Arial" w:hAnsi="Arial" w:cs="Arial"/>
        </w:rPr>
        <w:t>“, welche bei Frauen ab 20 Jahren jährlich und bei Frauen ab 35 Jahren alle drei Jahre durchgeführt werden kann, ab.</w:t>
      </w:r>
      <w:r w:rsidR="00206C18" w:rsidRPr="00B36B3C">
        <w:rPr>
          <w:rFonts w:ascii="Arial" w:hAnsi="Arial" w:cs="Arial"/>
        </w:rPr>
        <w:t xml:space="preserve"> </w:t>
      </w:r>
      <w:r w:rsidR="00B36B3C">
        <w:rPr>
          <w:rFonts w:ascii="Arial" w:hAnsi="Arial" w:cs="Arial"/>
        </w:rPr>
        <w:br/>
      </w:r>
      <w:bookmarkStart w:id="0" w:name="_GoBack"/>
      <w:bookmarkEnd w:id="0"/>
      <w:r w:rsidR="00964FC5" w:rsidRPr="00BE573A">
        <w:rPr>
          <w:rFonts w:ascii="Arial" w:hAnsi="Arial" w:cs="Arial"/>
        </w:rPr>
        <w:t>Der Indikator enthält die absolute Anzahl der Frauen sowie die Rate je 100.000 GKV-versicherte Patientinnen. Er ist gegliedert nach den bayerischen Landkreisen und kreisfreien Städten, die regionale Zuordnung erfolgt nach dem Wohnortprinzip.</w:t>
      </w:r>
    </w:p>
    <w:p w:rsidR="00E131CE" w:rsidRPr="00BE573A" w:rsidRDefault="00E131CE" w:rsidP="00E131CE">
      <w:pPr>
        <w:pStyle w:val="Textkrper"/>
        <w:tabs>
          <w:tab w:val="left" w:pos="567"/>
          <w:tab w:val="left" w:pos="1418"/>
        </w:tabs>
        <w:rPr>
          <w:rFonts w:ascii="Arial" w:hAnsi="Arial" w:cs="Arial"/>
        </w:rPr>
      </w:pPr>
    </w:p>
    <w:p w:rsidR="00AF2CEB" w:rsidRPr="00BE573A" w:rsidRDefault="00AF2CEB">
      <w:pPr>
        <w:rPr>
          <w:rFonts w:ascii="Arial" w:hAnsi="Arial" w:cs="Arial"/>
          <w:b/>
        </w:rPr>
      </w:pPr>
      <w:r w:rsidRPr="00BE573A">
        <w:rPr>
          <w:rFonts w:ascii="Arial" w:hAnsi="Arial" w:cs="Arial"/>
          <w:b/>
        </w:rPr>
        <w:t>Datenhalter</w:t>
      </w:r>
    </w:p>
    <w:p w:rsidR="00AF2CEB" w:rsidRPr="00BE573A" w:rsidRDefault="003741FA">
      <w:pPr>
        <w:rPr>
          <w:rFonts w:ascii="Arial" w:hAnsi="Arial" w:cs="Arial"/>
        </w:rPr>
      </w:pPr>
      <w:r w:rsidRPr="00BE573A">
        <w:rPr>
          <w:rFonts w:ascii="Arial" w:hAnsi="Arial" w:cs="Arial"/>
        </w:rPr>
        <w:t>Kassenärztliche Vereinigung Bayern</w:t>
      </w:r>
    </w:p>
    <w:p w:rsidR="00AF2CEB" w:rsidRPr="00BE573A" w:rsidRDefault="00AF2CEB">
      <w:pPr>
        <w:rPr>
          <w:rFonts w:ascii="Arial" w:hAnsi="Arial" w:cs="Arial"/>
        </w:rPr>
      </w:pPr>
    </w:p>
    <w:p w:rsidR="00AF2CEB" w:rsidRPr="00BE573A" w:rsidRDefault="00AF2CEB">
      <w:pPr>
        <w:rPr>
          <w:rFonts w:ascii="Arial" w:hAnsi="Arial" w:cs="Arial"/>
          <w:b/>
        </w:rPr>
      </w:pPr>
      <w:r w:rsidRPr="00BE573A">
        <w:rPr>
          <w:rFonts w:ascii="Arial" w:hAnsi="Arial" w:cs="Arial"/>
          <w:b/>
        </w:rPr>
        <w:t>Datenquelle</w:t>
      </w:r>
    </w:p>
    <w:p w:rsidR="00AF2CEB" w:rsidRPr="00BE573A" w:rsidRDefault="007F5DDE">
      <w:pPr>
        <w:rPr>
          <w:rFonts w:ascii="Arial" w:hAnsi="Arial" w:cs="Arial"/>
        </w:rPr>
      </w:pPr>
      <w:r w:rsidRPr="00BE573A">
        <w:rPr>
          <w:rFonts w:ascii="Arial" w:hAnsi="Arial" w:cs="Arial"/>
        </w:rPr>
        <w:t>Kassenärztliche Vereinigung Bayern – Abrechnungsdaten</w:t>
      </w:r>
    </w:p>
    <w:p w:rsidR="007F5DDE" w:rsidRPr="00BE573A" w:rsidRDefault="007F5DDE">
      <w:pPr>
        <w:rPr>
          <w:rFonts w:ascii="Arial" w:hAnsi="Arial" w:cs="Arial"/>
        </w:rPr>
      </w:pPr>
    </w:p>
    <w:p w:rsidR="00AF2CEB" w:rsidRPr="00BE573A" w:rsidRDefault="00AF2CEB">
      <w:pPr>
        <w:rPr>
          <w:rFonts w:ascii="Arial" w:hAnsi="Arial" w:cs="Arial"/>
        </w:rPr>
      </w:pPr>
      <w:r w:rsidRPr="00BE573A">
        <w:rPr>
          <w:rFonts w:ascii="Arial" w:hAnsi="Arial" w:cs="Arial"/>
          <w:b/>
        </w:rPr>
        <w:t>Periodizität</w:t>
      </w:r>
    </w:p>
    <w:p w:rsidR="00AF2CEB" w:rsidRPr="00BE573A" w:rsidRDefault="003741FA">
      <w:pPr>
        <w:rPr>
          <w:rFonts w:ascii="Arial" w:hAnsi="Arial" w:cs="Arial"/>
        </w:rPr>
      </w:pPr>
      <w:r w:rsidRPr="00BE573A">
        <w:rPr>
          <w:rFonts w:ascii="Arial" w:hAnsi="Arial" w:cs="Arial"/>
        </w:rPr>
        <w:t>Jährlich</w:t>
      </w:r>
    </w:p>
    <w:p w:rsidR="00AF2CEB" w:rsidRPr="00BE573A" w:rsidRDefault="00AF2CEB">
      <w:pPr>
        <w:rPr>
          <w:rFonts w:ascii="Arial" w:hAnsi="Arial" w:cs="Arial"/>
        </w:rPr>
      </w:pPr>
    </w:p>
    <w:p w:rsidR="00AF2CEB" w:rsidRPr="00BE573A" w:rsidRDefault="00AF2CEB">
      <w:pPr>
        <w:rPr>
          <w:rFonts w:ascii="Arial" w:hAnsi="Arial" w:cs="Arial"/>
          <w:b/>
        </w:rPr>
      </w:pPr>
      <w:r w:rsidRPr="00BE573A">
        <w:rPr>
          <w:rFonts w:ascii="Arial" w:hAnsi="Arial" w:cs="Arial"/>
          <w:b/>
        </w:rPr>
        <w:t>Validität</w:t>
      </w:r>
    </w:p>
    <w:p w:rsidR="003741FA" w:rsidRPr="00BE573A" w:rsidRDefault="00B5012F" w:rsidP="003741FA">
      <w:pPr>
        <w:rPr>
          <w:rFonts w:ascii="Arial" w:hAnsi="Arial" w:cs="Arial"/>
        </w:rPr>
      </w:pPr>
      <w:r w:rsidRPr="00BE573A">
        <w:rPr>
          <w:rFonts w:ascii="Arial" w:hAnsi="Arial" w:cs="Arial"/>
        </w:rPr>
        <w:t>Da der Indikator auf den kassenärztlichen Abrechnungsdaten beruht, ist eine Aussage über die Validität nur für die gesetzlich krankenversich</w:t>
      </w:r>
      <w:r w:rsidR="002619A0" w:rsidRPr="00BE573A">
        <w:rPr>
          <w:rFonts w:ascii="Arial" w:hAnsi="Arial" w:cs="Arial"/>
        </w:rPr>
        <w:t>ert</w:t>
      </w:r>
      <w:r w:rsidR="001B133A" w:rsidRPr="00BE573A">
        <w:rPr>
          <w:rFonts w:ascii="Arial" w:hAnsi="Arial" w:cs="Arial"/>
        </w:rPr>
        <w:t>e Bevölkerung möglich. Frauen</w:t>
      </w:r>
      <w:r w:rsidRPr="00BE573A">
        <w:rPr>
          <w:rFonts w:ascii="Arial" w:hAnsi="Arial" w:cs="Arial"/>
        </w:rPr>
        <w:t xml:space="preserve"> die privat krankenversichert sind, haben ebenso einen An</w:t>
      </w:r>
      <w:r w:rsidR="002619A0" w:rsidRPr="00BE573A">
        <w:rPr>
          <w:rFonts w:ascii="Arial" w:hAnsi="Arial" w:cs="Arial"/>
        </w:rPr>
        <w:t xml:space="preserve">spruch auf die </w:t>
      </w:r>
      <w:r w:rsidR="001B133A" w:rsidRPr="00BE573A">
        <w:rPr>
          <w:rFonts w:ascii="Arial" w:hAnsi="Arial" w:cs="Arial"/>
        </w:rPr>
        <w:t>Früherkennungsuntersuchung auf Gebärmutterhalskrebs</w:t>
      </w:r>
      <w:r w:rsidRPr="00BE573A">
        <w:rPr>
          <w:rFonts w:ascii="Arial" w:hAnsi="Arial" w:cs="Arial"/>
        </w:rPr>
        <w:t>.</w:t>
      </w:r>
    </w:p>
    <w:p w:rsidR="00B5012F" w:rsidRPr="00BE573A" w:rsidRDefault="00BE573A" w:rsidP="003741FA">
      <w:pPr>
        <w:rPr>
          <w:rFonts w:ascii="Arial" w:hAnsi="Arial" w:cs="Arial"/>
        </w:rPr>
      </w:pPr>
      <w:proofErr w:type="spellStart"/>
      <w:r>
        <w:rPr>
          <w:rFonts w:ascii="Arial" w:hAnsi="Arial" w:cs="Arial"/>
        </w:rPr>
        <w:t>Validitätseinschränkungen</w:t>
      </w:r>
      <w:proofErr w:type="spellEnd"/>
      <w:r>
        <w:rPr>
          <w:rFonts w:ascii="Arial" w:hAnsi="Arial" w:cs="Arial"/>
        </w:rPr>
        <w:t xml:space="preserve"> resultieren zudem aus der postleitzahlgestützten Regionalzuordnung und der Notwendigkeit, die GKV- Versicherten auf Kreisebene zu schätzen.</w:t>
      </w:r>
    </w:p>
    <w:p w:rsidR="00AF2CEB" w:rsidRPr="00BE573A" w:rsidRDefault="00AF2CEB" w:rsidP="003741FA">
      <w:pPr>
        <w:rPr>
          <w:rFonts w:ascii="Arial" w:hAnsi="Arial" w:cs="Arial"/>
          <w:b/>
        </w:rPr>
      </w:pPr>
    </w:p>
    <w:p w:rsidR="00285511" w:rsidRPr="00BE573A" w:rsidRDefault="00285511" w:rsidP="00285511">
      <w:pPr>
        <w:rPr>
          <w:rFonts w:ascii="Arial" w:hAnsi="Arial" w:cs="Arial"/>
        </w:rPr>
      </w:pPr>
      <w:r w:rsidRPr="00BE573A">
        <w:rPr>
          <w:rFonts w:ascii="Arial" w:hAnsi="Arial" w:cs="Arial"/>
        </w:rPr>
        <w:t>Die Anzahl der Patientinnen ist aufgrund von Versicherungswechslern überschätzt. Des Weiteren übersteigt die Anzahl der Patientinnen die stichtagsbezogene Zahl der GKV-Versicherten in Bayern aufgrund von unterjährigen Umzügen nach Bayern bzw. aus Bayern heraus. Um abgesehen von Versicherungswechslern weitere Doppelnennungen zu vermeiden, wurden bei den Patientinnen das jeweils zuletzt bekannte Alter sowie die zuletzt bekannte Postleitzahl zugrunde gelegt. Es wurden nur Patientinne</w:t>
      </w:r>
      <w:r w:rsidR="00964FC5" w:rsidRPr="00BE573A">
        <w:rPr>
          <w:rFonts w:ascii="Arial" w:hAnsi="Arial" w:cs="Arial"/>
        </w:rPr>
        <w:t xml:space="preserve">n mit bayerischer Postleitzahl </w:t>
      </w:r>
      <w:r w:rsidRPr="00BE573A">
        <w:rPr>
          <w:rFonts w:ascii="Arial" w:hAnsi="Arial" w:cs="Arial"/>
        </w:rPr>
        <w:t>betrachtet. In der Gesamtzahl der Patientinnen wurden auch Patientinnen mit fehlender Altersangabe berücksichtigt.</w:t>
      </w:r>
    </w:p>
    <w:p w:rsidR="00AF2CEB" w:rsidRDefault="00AF2CEB">
      <w:pPr>
        <w:rPr>
          <w:rFonts w:ascii="Arial" w:hAnsi="Arial" w:cs="Arial"/>
        </w:rPr>
      </w:pPr>
    </w:p>
    <w:p w:rsidR="005D5FFD" w:rsidRDefault="005D5FFD" w:rsidP="005D5FFD">
      <w:pPr>
        <w:rPr>
          <w:rFonts w:ascii="Arial" w:hAnsi="Arial" w:cs="Arial"/>
        </w:rPr>
      </w:pPr>
      <w:r>
        <w:rPr>
          <w:rFonts w:ascii="Arial" w:hAnsi="Arial" w:cs="Arial"/>
        </w:rPr>
        <w:t>Der Indikator ist aufgrund der nur näherungsweise bestimmbaren Anzahl der GKV- versicherten Patienten/innen eher für großräumige Vergleiche geeignet als für unmittelbare Vergleiche zwischen einzelnen Landkreisen.</w:t>
      </w:r>
    </w:p>
    <w:p w:rsidR="005D5FFD" w:rsidRPr="00BE573A" w:rsidRDefault="005D5FFD">
      <w:pPr>
        <w:rPr>
          <w:rFonts w:ascii="Arial" w:hAnsi="Arial" w:cs="Arial"/>
        </w:rPr>
      </w:pPr>
    </w:p>
    <w:p w:rsidR="00AF2CEB" w:rsidRPr="00BE573A" w:rsidRDefault="00AF2CEB">
      <w:pPr>
        <w:rPr>
          <w:rFonts w:ascii="Arial" w:hAnsi="Arial" w:cs="Arial"/>
        </w:rPr>
      </w:pPr>
      <w:r w:rsidRPr="00BE573A">
        <w:rPr>
          <w:rFonts w:ascii="Arial" w:hAnsi="Arial" w:cs="Arial"/>
          <w:b/>
        </w:rPr>
        <w:t>Vergleichbarkeit</w:t>
      </w:r>
    </w:p>
    <w:p w:rsidR="00E77344" w:rsidRPr="00BE573A" w:rsidRDefault="003741FA" w:rsidP="00E77344">
      <w:pPr>
        <w:pStyle w:val="Kopfzeile"/>
        <w:rPr>
          <w:rFonts w:ascii="Arial" w:hAnsi="Arial" w:cs="Arial"/>
        </w:rPr>
      </w:pPr>
      <w:r w:rsidRPr="00BE573A">
        <w:rPr>
          <w:rFonts w:ascii="Arial" w:hAnsi="Arial" w:cs="Arial"/>
        </w:rPr>
        <w:lastRenderedPageBreak/>
        <w:t xml:space="preserve">Es gibt keine entsprechenden WHO-, OECD- und EU-Indikatoren. </w:t>
      </w:r>
      <w:r w:rsidR="00E77344" w:rsidRPr="00BE573A">
        <w:rPr>
          <w:rFonts w:ascii="Arial" w:hAnsi="Arial" w:cs="Arial"/>
        </w:rPr>
        <w:t xml:space="preserve">Der Indikator wurde ab dem Datenjahr 2009 in den bayerischen </w:t>
      </w:r>
      <w:proofErr w:type="spellStart"/>
      <w:r w:rsidR="00E77344" w:rsidRPr="00BE573A">
        <w:rPr>
          <w:rFonts w:ascii="Arial" w:hAnsi="Arial" w:cs="Arial"/>
        </w:rPr>
        <w:t>Indikatorensatz</w:t>
      </w:r>
      <w:proofErr w:type="spellEnd"/>
      <w:r w:rsidR="00E77344" w:rsidRPr="00BE573A">
        <w:rPr>
          <w:rFonts w:ascii="Arial" w:hAnsi="Arial" w:cs="Arial"/>
        </w:rPr>
        <w:t xml:space="preserve"> aufgenommen.</w:t>
      </w:r>
    </w:p>
    <w:p w:rsidR="00AF2CEB" w:rsidRDefault="00AF2CEB">
      <w:pPr>
        <w:rPr>
          <w:rFonts w:ascii="Arial" w:hAnsi="Arial" w:cs="Arial"/>
          <w:b/>
        </w:rPr>
      </w:pPr>
    </w:p>
    <w:p w:rsidR="004A51A0" w:rsidRPr="00B36B3C" w:rsidRDefault="004A51A0">
      <w:pPr>
        <w:rPr>
          <w:rFonts w:ascii="Arial" w:hAnsi="Arial" w:cs="Arial"/>
          <w:b/>
        </w:rPr>
      </w:pPr>
      <w:r w:rsidRPr="00B36B3C">
        <w:rPr>
          <w:rFonts w:ascii="Arial" w:hAnsi="Arial" w:cs="Arial"/>
          <w:b/>
        </w:rPr>
        <w:t>Stand</w:t>
      </w:r>
    </w:p>
    <w:p w:rsidR="004A51A0" w:rsidRPr="00B36B3C" w:rsidRDefault="004A51A0">
      <w:pPr>
        <w:rPr>
          <w:rFonts w:ascii="Arial" w:hAnsi="Arial" w:cs="Arial"/>
        </w:rPr>
      </w:pPr>
      <w:r w:rsidRPr="00B36B3C">
        <w:rPr>
          <w:rFonts w:ascii="Arial" w:hAnsi="Arial" w:cs="Arial"/>
        </w:rPr>
        <w:t>September 2022</w:t>
      </w:r>
    </w:p>
    <w:sectPr w:rsidR="004A51A0" w:rsidRPr="00B36B3C">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437" w:rsidRDefault="005D3437">
      <w:r>
        <w:separator/>
      </w:r>
    </w:p>
  </w:endnote>
  <w:endnote w:type="continuationSeparator" w:id="0">
    <w:p w:rsidR="005D3437" w:rsidRDefault="005D3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B08" w:rsidRDefault="00B67B0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B08" w:rsidRDefault="00B67B0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B08" w:rsidRDefault="00B67B0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437" w:rsidRDefault="005D3437">
      <w:r>
        <w:separator/>
      </w:r>
    </w:p>
  </w:footnote>
  <w:footnote w:type="continuationSeparator" w:id="0">
    <w:p w:rsidR="005D3437" w:rsidRDefault="005D3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B08" w:rsidRDefault="00B67B0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B08" w:rsidRDefault="00B67B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B08" w:rsidRDefault="00B67B0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64E"/>
    <w:rsid w:val="00023845"/>
    <w:rsid w:val="0005189E"/>
    <w:rsid w:val="0009579C"/>
    <w:rsid w:val="000C101F"/>
    <w:rsid w:val="000E39D3"/>
    <w:rsid w:val="00136E86"/>
    <w:rsid w:val="001B133A"/>
    <w:rsid w:val="001B5AD9"/>
    <w:rsid w:val="00206C18"/>
    <w:rsid w:val="00241C70"/>
    <w:rsid w:val="002619A0"/>
    <w:rsid w:val="00285511"/>
    <w:rsid w:val="00292EC0"/>
    <w:rsid w:val="002A5429"/>
    <w:rsid w:val="002D188F"/>
    <w:rsid w:val="003741FA"/>
    <w:rsid w:val="0040564E"/>
    <w:rsid w:val="004877D6"/>
    <w:rsid w:val="004A51A0"/>
    <w:rsid w:val="005424A0"/>
    <w:rsid w:val="005D3437"/>
    <w:rsid w:val="005D5FFD"/>
    <w:rsid w:val="00633559"/>
    <w:rsid w:val="0069458B"/>
    <w:rsid w:val="006D06BA"/>
    <w:rsid w:val="00710042"/>
    <w:rsid w:val="007F5DDE"/>
    <w:rsid w:val="00866C96"/>
    <w:rsid w:val="008D149B"/>
    <w:rsid w:val="00917BE1"/>
    <w:rsid w:val="00921F92"/>
    <w:rsid w:val="00964FC5"/>
    <w:rsid w:val="009A79C4"/>
    <w:rsid w:val="00A24201"/>
    <w:rsid w:val="00A35FB2"/>
    <w:rsid w:val="00A44C47"/>
    <w:rsid w:val="00A8532A"/>
    <w:rsid w:val="00AC0DCE"/>
    <w:rsid w:val="00AF2CEB"/>
    <w:rsid w:val="00B13BEF"/>
    <w:rsid w:val="00B36B3C"/>
    <w:rsid w:val="00B465E2"/>
    <w:rsid w:val="00B5012F"/>
    <w:rsid w:val="00B67B08"/>
    <w:rsid w:val="00B91CE9"/>
    <w:rsid w:val="00BD312D"/>
    <w:rsid w:val="00BE573A"/>
    <w:rsid w:val="00C02CA3"/>
    <w:rsid w:val="00C377FF"/>
    <w:rsid w:val="00C75450"/>
    <w:rsid w:val="00CB737B"/>
    <w:rsid w:val="00CE65C9"/>
    <w:rsid w:val="00DC5753"/>
    <w:rsid w:val="00DD487D"/>
    <w:rsid w:val="00E131CE"/>
    <w:rsid w:val="00E532BA"/>
    <w:rsid w:val="00E77344"/>
    <w:rsid w:val="00EA3E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847C75E"/>
  <w15:chartTrackingRefBased/>
  <w15:docId w15:val="{8F64CC5D-2EF4-484B-9C11-9C77AC86A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spacing w:before="240"/>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jc w:val="both"/>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2">
    <w:name w:val="Body Text 2"/>
    <w:basedOn w:val="Standard"/>
    <w:pPr>
      <w:jc w:val="both"/>
    </w:pPr>
    <w:rPr>
      <w:b/>
      <w:bCs/>
    </w:rPr>
  </w:style>
  <w:style w:type="paragraph" w:styleId="Textkrper3">
    <w:name w:val="Body Text 3"/>
    <w:basedOn w:val="Standard"/>
    <w:rPr>
      <w:i/>
    </w:rPr>
  </w:style>
  <w:style w:type="character" w:styleId="Kommentarzeichen">
    <w:name w:val="annotation reference"/>
    <w:basedOn w:val="Absatz-Standardschriftart"/>
    <w:semiHidden/>
    <w:rPr>
      <w:sz w:val="16"/>
    </w:rPr>
  </w:style>
  <w:style w:type="paragraph" w:styleId="Kommentartext">
    <w:name w:val="annotation text"/>
    <w:basedOn w:val="Standard"/>
    <w:semiHidden/>
  </w:style>
  <w:style w:type="paragraph" w:styleId="Sprechblasentext">
    <w:name w:val="Balloon Text"/>
    <w:basedOn w:val="Standard"/>
    <w:semiHidden/>
    <w:rsid w:val="00C377FF"/>
    <w:rPr>
      <w:rFonts w:ascii="Tahoma" w:hAnsi="Tahoma" w:cs="Tahoma"/>
      <w:sz w:val="16"/>
      <w:szCs w:val="16"/>
    </w:rPr>
  </w:style>
  <w:style w:type="character" w:styleId="Hyperlink">
    <w:name w:val="Hyperlink"/>
    <w:basedOn w:val="Absatz-Standardschriftart"/>
    <w:rsid w:val="00CE65C9"/>
    <w:rPr>
      <w:strike w:val="0"/>
      <w:dstrike w:val="0"/>
      <w:color w:val="B1004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2964">
      <w:bodyDiv w:val="1"/>
      <w:marLeft w:val="0"/>
      <w:marRight w:val="0"/>
      <w:marTop w:val="0"/>
      <w:marBottom w:val="0"/>
      <w:divBdr>
        <w:top w:val="none" w:sz="0" w:space="0" w:color="auto"/>
        <w:left w:val="none" w:sz="0" w:space="0" w:color="auto"/>
        <w:bottom w:val="none" w:sz="0" w:space="0" w:color="auto"/>
        <w:right w:val="none" w:sz="0" w:space="0" w:color="auto"/>
      </w:divBdr>
      <w:divsChild>
        <w:div w:id="1722628183">
          <w:marLeft w:val="0"/>
          <w:marRight w:val="0"/>
          <w:marTop w:val="0"/>
          <w:marBottom w:val="0"/>
          <w:divBdr>
            <w:top w:val="none" w:sz="0" w:space="0" w:color="auto"/>
            <w:left w:val="none" w:sz="0" w:space="0" w:color="auto"/>
            <w:bottom w:val="none" w:sz="0" w:space="0" w:color="auto"/>
            <w:right w:val="none" w:sz="0" w:space="0" w:color="auto"/>
          </w:divBdr>
          <w:divsChild>
            <w:div w:id="1227497257">
              <w:marLeft w:val="0"/>
              <w:marRight w:val="0"/>
              <w:marTop w:val="0"/>
              <w:marBottom w:val="0"/>
              <w:divBdr>
                <w:top w:val="none" w:sz="0" w:space="0" w:color="auto"/>
                <w:left w:val="none" w:sz="0" w:space="0" w:color="auto"/>
                <w:bottom w:val="none" w:sz="0" w:space="0" w:color="auto"/>
                <w:right w:val="none" w:sz="0" w:space="0" w:color="auto"/>
              </w:divBdr>
              <w:divsChild>
                <w:div w:id="165426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98489">
      <w:bodyDiv w:val="1"/>
      <w:marLeft w:val="0"/>
      <w:marRight w:val="0"/>
      <w:marTop w:val="0"/>
      <w:marBottom w:val="0"/>
      <w:divBdr>
        <w:top w:val="none" w:sz="0" w:space="0" w:color="auto"/>
        <w:left w:val="none" w:sz="0" w:space="0" w:color="auto"/>
        <w:bottom w:val="none" w:sz="0" w:space="0" w:color="auto"/>
        <w:right w:val="none" w:sz="0" w:space="0" w:color="auto"/>
      </w:divBdr>
      <w:divsChild>
        <w:div w:id="722102469">
          <w:marLeft w:val="0"/>
          <w:marRight w:val="0"/>
          <w:marTop w:val="0"/>
          <w:marBottom w:val="0"/>
          <w:divBdr>
            <w:top w:val="none" w:sz="0" w:space="0" w:color="auto"/>
            <w:left w:val="none" w:sz="0" w:space="0" w:color="auto"/>
            <w:bottom w:val="none" w:sz="0" w:space="0" w:color="auto"/>
            <w:right w:val="none" w:sz="0" w:space="0" w:color="auto"/>
          </w:divBdr>
          <w:divsChild>
            <w:div w:id="1664770736">
              <w:marLeft w:val="0"/>
              <w:marRight w:val="0"/>
              <w:marTop w:val="0"/>
              <w:marBottom w:val="0"/>
              <w:divBdr>
                <w:top w:val="none" w:sz="0" w:space="0" w:color="auto"/>
                <w:left w:val="none" w:sz="0" w:space="0" w:color="auto"/>
                <w:bottom w:val="none" w:sz="0" w:space="0" w:color="auto"/>
                <w:right w:val="none" w:sz="0" w:space="0" w:color="auto"/>
              </w:divBdr>
              <w:divsChild>
                <w:div w:id="10806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674101">
      <w:bodyDiv w:val="1"/>
      <w:marLeft w:val="0"/>
      <w:marRight w:val="0"/>
      <w:marTop w:val="0"/>
      <w:marBottom w:val="0"/>
      <w:divBdr>
        <w:top w:val="none" w:sz="0" w:space="0" w:color="auto"/>
        <w:left w:val="none" w:sz="0" w:space="0" w:color="auto"/>
        <w:bottom w:val="none" w:sz="0" w:space="0" w:color="auto"/>
        <w:right w:val="none" w:sz="0" w:space="0" w:color="auto"/>
      </w:divBdr>
      <w:divsChild>
        <w:div w:id="1998797079">
          <w:marLeft w:val="0"/>
          <w:marRight w:val="0"/>
          <w:marTop w:val="0"/>
          <w:marBottom w:val="0"/>
          <w:divBdr>
            <w:top w:val="none" w:sz="0" w:space="0" w:color="auto"/>
            <w:left w:val="none" w:sz="0" w:space="0" w:color="auto"/>
            <w:bottom w:val="none" w:sz="0" w:space="0" w:color="auto"/>
            <w:right w:val="none" w:sz="0" w:space="0" w:color="auto"/>
          </w:divBdr>
          <w:divsChild>
            <w:div w:id="4418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33468">
      <w:bodyDiv w:val="1"/>
      <w:marLeft w:val="0"/>
      <w:marRight w:val="0"/>
      <w:marTop w:val="0"/>
      <w:marBottom w:val="0"/>
      <w:divBdr>
        <w:top w:val="none" w:sz="0" w:space="0" w:color="auto"/>
        <w:left w:val="none" w:sz="0" w:space="0" w:color="auto"/>
        <w:bottom w:val="none" w:sz="0" w:space="0" w:color="auto"/>
        <w:right w:val="none" w:sz="0" w:space="0" w:color="auto"/>
      </w:divBdr>
      <w:divsChild>
        <w:div w:id="676733716">
          <w:marLeft w:val="0"/>
          <w:marRight w:val="0"/>
          <w:marTop w:val="0"/>
          <w:marBottom w:val="0"/>
          <w:divBdr>
            <w:top w:val="none" w:sz="0" w:space="0" w:color="auto"/>
            <w:left w:val="none" w:sz="0" w:space="0" w:color="auto"/>
            <w:bottom w:val="none" w:sz="0" w:space="0" w:color="auto"/>
            <w:right w:val="none" w:sz="0" w:space="0" w:color="auto"/>
          </w:divBdr>
          <w:divsChild>
            <w:div w:id="105994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3427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zu Indikator 5</vt:lpstr>
    </vt:vector>
  </TitlesOfParts>
  <Company>loegd</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 Indikator 5</dc:title>
  <dc:subject/>
  <dc:creator>breckenk</dc:creator>
  <cp:keywords/>
  <cp:lastModifiedBy>Zollikofer, Sylvia (LGL)</cp:lastModifiedBy>
  <cp:revision>2</cp:revision>
  <cp:lastPrinted>2003-01-13T09:58:00Z</cp:lastPrinted>
  <dcterms:created xsi:type="dcterms:W3CDTF">2023-05-04T11:03:00Z</dcterms:created>
  <dcterms:modified xsi:type="dcterms:W3CDTF">2023-05-04T11:03:00Z</dcterms:modified>
</cp:coreProperties>
</file>