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F0E" w:rsidRPr="00044953" w:rsidRDefault="005F4F0E">
      <w:pPr>
        <w:rPr>
          <w:rFonts w:ascii="Arial" w:hAnsi="Arial" w:cs="Arial"/>
          <w:b/>
        </w:rPr>
      </w:pPr>
      <w:r w:rsidRPr="00044953">
        <w:rPr>
          <w:rFonts w:ascii="Arial" w:hAnsi="Arial" w:cs="Arial"/>
          <w:b/>
        </w:rPr>
        <w:t>Indikator 5.11 (B)</w:t>
      </w:r>
    </w:p>
    <w:p w:rsidR="005F4F0E" w:rsidRPr="00044953" w:rsidRDefault="005F4F0E">
      <w:pPr>
        <w:rPr>
          <w:rFonts w:ascii="Arial" w:hAnsi="Arial" w:cs="Arial"/>
          <w:b/>
        </w:rPr>
      </w:pPr>
      <w:r w:rsidRPr="00044953">
        <w:rPr>
          <w:rFonts w:ascii="Arial" w:hAnsi="Arial" w:cs="Arial"/>
          <w:b/>
        </w:rPr>
        <w:t>PCB in der Kuhmilch und in der Frauenmilch, Deutschland, Jahr</w:t>
      </w:r>
    </w:p>
    <w:p w:rsidR="005F4F0E" w:rsidRPr="00044953" w:rsidRDefault="005F4F0E">
      <w:pPr>
        <w:rPr>
          <w:rFonts w:ascii="Arial" w:hAnsi="Arial" w:cs="Arial"/>
          <w:b/>
        </w:rPr>
      </w:pPr>
    </w:p>
    <w:p w:rsidR="005F4F0E" w:rsidRPr="00044953" w:rsidRDefault="005F4F0E">
      <w:pPr>
        <w:rPr>
          <w:rFonts w:ascii="Arial" w:hAnsi="Arial" w:cs="Arial"/>
        </w:rPr>
      </w:pPr>
      <w:r w:rsidRPr="00044953">
        <w:rPr>
          <w:rFonts w:ascii="Arial" w:hAnsi="Arial" w:cs="Arial"/>
          <w:b/>
        </w:rPr>
        <w:t>Definition</w:t>
      </w:r>
    </w:p>
    <w:p w:rsidR="005F4F0E" w:rsidRPr="00044953" w:rsidRDefault="005F4F0E">
      <w:pPr>
        <w:rPr>
          <w:rFonts w:ascii="Arial" w:hAnsi="Arial" w:cs="Arial"/>
        </w:rPr>
      </w:pPr>
      <w:r w:rsidRPr="00044953">
        <w:rPr>
          <w:rFonts w:ascii="Arial" w:hAnsi="Arial" w:cs="Arial"/>
        </w:rPr>
        <w:t xml:space="preserve">Seit den vierziger Jahren wurden Polychlorierte </w:t>
      </w:r>
      <w:proofErr w:type="spellStart"/>
      <w:r w:rsidRPr="00044953">
        <w:rPr>
          <w:rFonts w:ascii="Arial" w:hAnsi="Arial" w:cs="Arial"/>
        </w:rPr>
        <w:t>Biphenyle</w:t>
      </w:r>
      <w:proofErr w:type="spellEnd"/>
      <w:r w:rsidRPr="00044953">
        <w:rPr>
          <w:rFonts w:ascii="Arial" w:hAnsi="Arial" w:cs="Arial"/>
        </w:rPr>
        <w:t xml:space="preserve"> (PCB) in Deutschland eingesetzt. Die Verwendung von PCB in offenen Systemen wurde 1978 verboten. Vorher wurden PCB vielfältig eingesetzt, beispielsweise als Weich</w:t>
      </w:r>
      <w:r w:rsidR="002155C7" w:rsidRPr="00044953">
        <w:rPr>
          <w:rFonts w:ascii="Arial" w:hAnsi="Arial" w:cs="Arial"/>
        </w:rPr>
        <w:softHyphen/>
      </w:r>
      <w:r w:rsidRPr="00044953">
        <w:rPr>
          <w:rFonts w:ascii="Arial" w:hAnsi="Arial" w:cs="Arial"/>
        </w:rPr>
        <w:t>macher für Lacke, Harze und Kunststoffe, als Imprägnier- und Flammschutzmittel für Papier, Stoffe, Holz und Leder sowie als Zusatz zu Insektiziden zur Verlängerung der Wirkdauer. Nur in geschlossenen Systemen, zum Beispiel als Kühl- und Isolierflüssigkeit innerhalb von Transformatoren und Gleichrichtern, Hydraulikflüssigkeit und als Zusatzdielektrikum für Starkstromkondensatoren, wurden PCB weiterhin verwendet. Seit 1977 werden in den USA und seit 1983 in Deutschland keine PCB mehr hergestellt. Etwa die Hälfte der in Deutschland hergestellten Menge von circa 0,15 Millionen Tonnen war 1996 noch in Verwendung (1). Bis heute bestehende Emissionsquellen sind bestimmte industrielle Anlagen, der Kraftfahrzeugverkehr, aber auch Ausgasung aus mit PCB kontam</w:t>
      </w:r>
      <w:bookmarkStart w:id="0" w:name="_GoBack"/>
      <w:bookmarkEnd w:id="0"/>
      <w:r w:rsidRPr="00044953">
        <w:rPr>
          <w:rFonts w:ascii="Arial" w:hAnsi="Arial" w:cs="Arial"/>
        </w:rPr>
        <w:t>inierten Seen und Fließgewässern (2)</w:t>
      </w:r>
      <w:r w:rsidR="00831019" w:rsidRPr="00044953">
        <w:rPr>
          <w:rFonts w:ascii="Arial" w:hAnsi="Arial" w:cs="Arial"/>
        </w:rPr>
        <w:t xml:space="preserve"> sowie </w:t>
      </w:r>
      <w:r w:rsidR="001A0F31" w:rsidRPr="00044953">
        <w:rPr>
          <w:rFonts w:ascii="Arial" w:hAnsi="Arial" w:cs="Arial"/>
        </w:rPr>
        <w:t xml:space="preserve">die </w:t>
      </w:r>
      <w:r w:rsidR="00831019" w:rsidRPr="00044953">
        <w:rPr>
          <w:rFonts w:ascii="Arial" w:hAnsi="Arial" w:cs="Arial"/>
        </w:rPr>
        <w:t xml:space="preserve">durch natürliche Prozesse entstandene </w:t>
      </w:r>
      <w:r w:rsidR="001A0F31" w:rsidRPr="00044953">
        <w:rPr>
          <w:rFonts w:ascii="Arial" w:hAnsi="Arial" w:cs="Arial"/>
        </w:rPr>
        <w:t>Anreicherung in Ton und Erde.</w:t>
      </w:r>
    </w:p>
    <w:p w:rsidR="00814344" w:rsidRPr="00044953" w:rsidRDefault="005F4F0E">
      <w:pPr>
        <w:rPr>
          <w:rFonts w:ascii="Arial" w:hAnsi="Arial" w:cs="Arial"/>
          <w:color w:val="191919"/>
          <w:shd w:val="clear" w:color="auto" w:fill="FEFEFE"/>
        </w:rPr>
      </w:pPr>
      <w:r w:rsidRPr="00044953">
        <w:rPr>
          <w:rFonts w:ascii="Arial" w:hAnsi="Arial" w:cs="Arial"/>
        </w:rPr>
        <w:t xml:space="preserve">Polychlorierte </w:t>
      </w:r>
      <w:proofErr w:type="spellStart"/>
      <w:r w:rsidRPr="00044953">
        <w:rPr>
          <w:rFonts w:ascii="Arial" w:hAnsi="Arial" w:cs="Arial"/>
        </w:rPr>
        <w:t>Biphenyle</w:t>
      </w:r>
      <w:proofErr w:type="spellEnd"/>
      <w:r w:rsidRPr="00044953">
        <w:rPr>
          <w:rFonts w:ascii="Arial" w:hAnsi="Arial" w:cs="Arial"/>
        </w:rPr>
        <w:t xml:space="preserve"> sind ubiquitär verbreitet und haben Eingang in die Nahrungskette gefunden. </w:t>
      </w:r>
      <w:r w:rsidR="00A47A67" w:rsidRPr="00044953">
        <w:rPr>
          <w:rFonts w:ascii="Arial" w:hAnsi="Arial" w:cs="Arial"/>
        </w:rPr>
        <w:t>Sie z</w:t>
      </w:r>
      <w:r w:rsidR="00814344" w:rsidRPr="00044953">
        <w:rPr>
          <w:rFonts w:ascii="Arial" w:hAnsi="Arial" w:cs="Arial"/>
          <w:color w:val="191919"/>
          <w:shd w:val="clear" w:color="auto" w:fill="FEFEFE"/>
        </w:rPr>
        <w:t>eigen auch aufgrund ihres Molekülaufbaus Ähnlichkeiten mit Dioxinen</w:t>
      </w:r>
      <w:r w:rsidR="00A47A67" w:rsidRPr="00044953">
        <w:rPr>
          <w:rFonts w:ascii="Arial" w:hAnsi="Arial" w:cs="Arial"/>
          <w:color w:val="191919"/>
          <w:shd w:val="clear" w:color="auto" w:fill="FEFEFE"/>
        </w:rPr>
        <w:t xml:space="preserve"> und</w:t>
      </w:r>
      <w:r w:rsidR="00814344" w:rsidRPr="00044953">
        <w:rPr>
          <w:rFonts w:ascii="Arial" w:hAnsi="Arial" w:cs="Arial"/>
          <w:color w:val="191919"/>
          <w:shd w:val="clear" w:color="auto" w:fill="FEFEFE"/>
        </w:rPr>
        <w:t xml:space="preserve"> werden deshalb dioxinähnliche</w:t>
      </w:r>
      <w:r w:rsidR="00464FA2" w:rsidRPr="00044953">
        <w:rPr>
          <w:rFonts w:ascii="Arial" w:hAnsi="Arial" w:cs="Arial"/>
          <w:color w:val="191919"/>
          <w:shd w:val="clear" w:color="auto" w:fill="FEFEFE"/>
        </w:rPr>
        <w:t xml:space="preserve"> </w:t>
      </w:r>
      <w:r w:rsidR="00814344" w:rsidRPr="00044953">
        <w:rPr>
          <w:rFonts w:ascii="Arial" w:hAnsi="Arial" w:cs="Arial"/>
        </w:rPr>
        <w:t>PCB</w:t>
      </w:r>
      <w:r w:rsidR="00464FA2" w:rsidRPr="00044953">
        <w:rPr>
          <w:rFonts w:ascii="Arial" w:hAnsi="Arial" w:cs="Arial"/>
        </w:rPr>
        <w:t xml:space="preserve"> </w:t>
      </w:r>
      <w:r w:rsidR="00814344" w:rsidRPr="00044953">
        <w:rPr>
          <w:rFonts w:ascii="Arial" w:hAnsi="Arial" w:cs="Arial"/>
          <w:color w:val="191919"/>
          <w:shd w:val="clear" w:color="auto" w:fill="FEFEFE"/>
        </w:rPr>
        <w:t>(dl-</w:t>
      </w:r>
      <w:r w:rsidR="00814344" w:rsidRPr="00044953">
        <w:rPr>
          <w:rFonts w:ascii="Arial" w:hAnsi="Arial" w:cs="Arial"/>
        </w:rPr>
        <w:t>PCB</w:t>
      </w:r>
      <w:r w:rsidR="00814344" w:rsidRPr="00044953">
        <w:rPr>
          <w:rFonts w:ascii="Arial" w:hAnsi="Arial" w:cs="Arial"/>
          <w:color w:val="191919"/>
          <w:shd w:val="clear" w:color="auto" w:fill="FEFEFE"/>
        </w:rPr>
        <w:t>) genannt.</w:t>
      </w:r>
    </w:p>
    <w:p w:rsidR="002155C7" w:rsidRPr="00044953" w:rsidRDefault="005F4F0E">
      <w:pPr>
        <w:rPr>
          <w:rFonts w:ascii="Arial" w:hAnsi="Arial" w:cs="Arial"/>
        </w:rPr>
      </w:pPr>
      <w:r w:rsidRPr="00044953">
        <w:rPr>
          <w:rFonts w:ascii="Arial" w:hAnsi="Arial" w:cs="Arial"/>
        </w:rPr>
        <w:t xml:space="preserve">Gesundheitliche Beeinträchtigungen durch PCB und verwandte Umweltschadstoffe können bei entsprechender Dosis bzw. Belastung zu Störungen des Immunsystems, des </w:t>
      </w:r>
      <w:proofErr w:type="spellStart"/>
      <w:r w:rsidRPr="00044953">
        <w:rPr>
          <w:rFonts w:ascii="Arial" w:hAnsi="Arial" w:cs="Arial"/>
        </w:rPr>
        <w:t>Endokrinums</w:t>
      </w:r>
      <w:proofErr w:type="spellEnd"/>
      <w:r w:rsidRPr="00044953">
        <w:rPr>
          <w:rFonts w:ascii="Arial" w:hAnsi="Arial" w:cs="Arial"/>
        </w:rPr>
        <w:t>, der Fortpflanzung sowie zu Tumoren führen. Die interne Belastung (Schadstoffkonzentration im menschlichen Körper) ergibt wichtige Hinweise auf mögliche Gesundheitsgefahren. Ihre routinemäßige Erfassung erlaubt die Beurteilung von Trends und kann Handlungsbedarfe aufdecken, bevor in größerem Maße gesundheitliche Wirkungen aufget</w:t>
      </w:r>
      <w:r w:rsidR="002155C7" w:rsidRPr="00044953">
        <w:rPr>
          <w:rFonts w:ascii="Arial" w:hAnsi="Arial" w:cs="Arial"/>
        </w:rPr>
        <w:t>reten sein müssen.</w:t>
      </w:r>
    </w:p>
    <w:p w:rsidR="005F4F0E" w:rsidRPr="00044953" w:rsidRDefault="005F4F0E">
      <w:pPr>
        <w:rPr>
          <w:rFonts w:ascii="Arial" w:hAnsi="Arial" w:cs="Arial"/>
        </w:rPr>
      </w:pPr>
      <w:r w:rsidRPr="00044953">
        <w:rPr>
          <w:rFonts w:ascii="Arial" w:hAnsi="Arial" w:cs="Arial"/>
        </w:rPr>
        <w:t>Die Verfolgung der Belastung von Frauenmilch mit persistenten Rückständen ist unter dem Aspekt der gesundheitlichen Vorsorge von besonderer Bedeutung. Frauenmilch ist die erste Nahrung für den neugeborenen Säugling. Darüber hinaus ist sie ein gut zugänglicher und geeigneter Bioindikator für die Belastung des Menschen mit fettlöslichen und persistenten Stoffen.</w:t>
      </w:r>
    </w:p>
    <w:p w:rsidR="005F4F0E" w:rsidRPr="00044953" w:rsidRDefault="005F4F0E">
      <w:pPr>
        <w:rPr>
          <w:rFonts w:ascii="Arial" w:hAnsi="Arial" w:cs="Arial"/>
        </w:rPr>
      </w:pPr>
      <w:r w:rsidRPr="00044953">
        <w:rPr>
          <w:rFonts w:ascii="Arial" w:hAnsi="Arial" w:cs="Arial"/>
        </w:rPr>
        <w:t xml:space="preserve">In Zusammenarbeit mit den Ländern wurde beim Umweltbundesamt (UBA) </w:t>
      </w:r>
      <w:r w:rsidR="002532B3" w:rsidRPr="00044953">
        <w:rPr>
          <w:rFonts w:ascii="Arial" w:hAnsi="Arial" w:cs="Arial"/>
        </w:rPr>
        <w:t xml:space="preserve">die </w:t>
      </w:r>
      <w:r w:rsidR="002532B3" w:rsidRPr="00044953">
        <w:rPr>
          <w:rFonts w:ascii="Arial" w:hAnsi="Arial" w:cs="Arial"/>
          <w:i/>
        </w:rPr>
        <w:t>POP-</w:t>
      </w:r>
      <w:r w:rsidRPr="00044953">
        <w:rPr>
          <w:rFonts w:ascii="Arial" w:hAnsi="Arial" w:cs="Arial"/>
          <w:i/>
        </w:rPr>
        <w:t xml:space="preserve">Dioxin-Datenbank </w:t>
      </w:r>
      <w:r w:rsidR="00ED7A8F" w:rsidRPr="00044953">
        <w:rPr>
          <w:rFonts w:ascii="Arial" w:hAnsi="Arial" w:cs="Arial"/>
          <w:i/>
        </w:rPr>
        <w:t>des Bundes und der Länder</w:t>
      </w:r>
      <w:r w:rsidR="00ED7A8F" w:rsidRPr="00044953">
        <w:rPr>
          <w:rFonts w:ascii="Arial" w:hAnsi="Arial" w:cs="Arial"/>
        </w:rPr>
        <w:t xml:space="preserve"> </w:t>
      </w:r>
      <w:r w:rsidRPr="00044953">
        <w:rPr>
          <w:rFonts w:ascii="Arial" w:hAnsi="Arial" w:cs="Arial"/>
        </w:rPr>
        <w:t>aufgebaut, in der die Untersuchungsergebnisse</w:t>
      </w:r>
      <w:r w:rsidR="002532B3" w:rsidRPr="00044953">
        <w:rPr>
          <w:rFonts w:ascii="Arial" w:hAnsi="Arial" w:cs="Arial"/>
        </w:rPr>
        <w:t xml:space="preserve"> und beschreibende</w:t>
      </w:r>
      <w:r w:rsidR="00ED7A8F" w:rsidRPr="00044953">
        <w:rPr>
          <w:rFonts w:ascii="Arial" w:hAnsi="Arial" w:cs="Arial"/>
        </w:rPr>
        <w:t>n</w:t>
      </w:r>
      <w:r w:rsidR="002532B3" w:rsidRPr="00044953">
        <w:rPr>
          <w:rFonts w:ascii="Arial" w:hAnsi="Arial" w:cs="Arial"/>
        </w:rPr>
        <w:t xml:space="preserve"> Informationen</w:t>
      </w:r>
      <w:r w:rsidRPr="00044953">
        <w:rPr>
          <w:rFonts w:ascii="Arial" w:hAnsi="Arial" w:cs="Arial"/>
        </w:rPr>
        <w:t xml:space="preserve"> der </w:t>
      </w:r>
      <w:r w:rsidR="002532B3" w:rsidRPr="00044953">
        <w:rPr>
          <w:rFonts w:ascii="Arial" w:hAnsi="Arial" w:cs="Arial"/>
        </w:rPr>
        <w:t xml:space="preserve">Bundes- und </w:t>
      </w:r>
      <w:r w:rsidRPr="00044953">
        <w:rPr>
          <w:rFonts w:ascii="Arial" w:hAnsi="Arial" w:cs="Arial"/>
        </w:rPr>
        <w:t>Länder</w:t>
      </w:r>
      <w:r w:rsidR="002532B3" w:rsidRPr="00044953">
        <w:rPr>
          <w:rFonts w:ascii="Arial" w:hAnsi="Arial" w:cs="Arial"/>
        </w:rPr>
        <w:t>behörden, Forschungseinrichtungen sowie Institutionen zur Dioxinbelastung und zu Belastungen</w:t>
      </w:r>
      <w:r w:rsidRPr="00044953">
        <w:rPr>
          <w:rFonts w:ascii="Arial" w:hAnsi="Arial" w:cs="Arial"/>
        </w:rPr>
        <w:t xml:space="preserve"> </w:t>
      </w:r>
      <w:r w:rsidR="002532B3" w:rsidRPr="00044953">
        <w:rPr>
          <w:rFonts w:ascii="Arial" w:hAnsi="Arial" w:cs="Arial"/>
        </w:rPr>
        <w:t xml:space="preserve">der Umwelt durch andere persistente organische Schadstoffe (POPs) </w:t>
      </w:r>
      <w:r w:rsidRPr="00044953">
        <w:rPr>
          <w:rFonts w:ascii="Arial" w:hAnsi="Arial" w:cs="Arial"/>
        </w:rPr>
        <w:t xml:space="preserve">zusammenfassend dokumentiert </w:t>
      </w:r>
      <w:r w:rsidR="00D07391" w:rsidRPr="00044953">
        <w:rPr>
          <w:rFonts w:ascii="Arial" w:hAnsi="Arial" w:cs="Arial"/>
        </w:rPr>
        <w:t xml:space="preserve">und ausgewertet werden. Das zur </w:t>
      </w:r>
      <w:r w:rsidRPr="00044953">
        <w:rPr>
          <w:rFonts w:ascii="Arial" w:hAnsi="Arial" w:cs="Arial"/>
        </w:rPr>
        <w:t xml:space="preserve">Zeit analysierte und in der Datenbank erfasste Substanzspektrum umfasst die </w:t>
      </w:r>
      <w:r w:rsidR="002532B3" w:rsidRPr="00044953">
        <w:rPr>
          <w:rFonts w:ascii="Arial" w:hAnsi="Arial" w:cs="Arial"/>
          <w:color w:val="404040"/>
        </w:rPr>
        <w:t xml:space="preserve">folgenden Stoffgruppen: Chlorbenzole, Nitromoschusverbindungen, </w:t>
      </w:r>
      <w:proofErr w:type="spellStart"/>
      <w:r w:rsidR="002532B3" w:rsidRPr="00044953">
        <w:rPr>
          <w:rFonts w:ascii="Arial" w:hAnsi="Arial" w:cs="Arial"/>
          <w:color w:val="404040"/>
        </w:rPr>
        <w:t>Organochlorpestizide</w:t>
      </w:r>
      <w:proofErr w:type="spellEnd"/>
      <w:r w:rsidR="002532B3" w:rsidRPr="00044953">
        <w:rPr>
          <w:rFonts w:ascii="Arial" w:hAnsi="Arial" w:cs="Arial"/>
          <w:color w:val="404040"/>
        </w:rPr>
        <w:t xml:space="preserve">, </w:t>
      </w:r>
      <w:proofErr w:type="spellStart"/>
      <w:r w:rsidR="002532B3" w:rsidRPr="00044953">
        <w:rPr>
          <w:rFonts w:ascii="Arial" w:hAnsi="Arial" w:cs="Arial"/>
          <w:color w:val="404040"/>
        </w:rPr>
        <w:t>Polybromierte</w:t>
      </w:r>
      <w:proofErr w:type="spellEnd"/>
      <w:r w:rsidR="002532B3" w:rsidRPr="00044953">
        <w:rPr>
          <w:rFonts w:ascii="Arial" w:hAnsi="Arial" w:cs="Arial"/>
          <w:color w:val="404040"/>
        </w:rPr>
        <w:t xml:space="preserve"> </w:t>
      </w:r>
      <w:proofErr w:type="spellStart"/>
      <w:r w:rsidR="002532B3" w:rsidRPr="00044953">
        <w:rPr>
          <w:rFonts w:ascii="Arial" w:hAnsi="Arial" w:cs="Arial"/>
          <w:color w:val="404040"/>
        </w:rPr>
        <w:t>Dibenzodioxine</w:t>
      </w:r>
      <w:proofErr w:type="spellEnd"/>
      <w:r w:rsidR="002532B3" w:rsidRPr="00044953">
        <w:rPr>
          <w:rFonts w:ascii="Arial" w:hAnsi="Arial" w:cs="Arial"/>
          <w:color w:val="404040"/>
        </w:rPr>
        <w:t xml:space="preserve"> und -furane (PBDD/PBDF), </w:t>
      </w:r>
      <w:proofErr w:type="spellStart"/>
      <w:r w:rsidR="002532B3" w:rsidRPr="00044953">
        <w:rPr>
          <w:rFonts w:ascii="Arial" w:hAnsi="Arial" w:cs="Arial"/>
          <w:color w:val="404040"/>
        </w:rPr>
        <w:t>Polybromierte</w:t>
      </w:r>
      <w:proofErr w:type="spellEnd"/>
      <w:r w:rsidR="002532B3" w:rsidRPr="00044953">
        <w:rPr>
          <w:rFonts w:ascii="Arial" w:hAnsi="Arial" w:cs="Arial"/>
          <w:color w:val="404040"/>
        </w:rPr>
        <w:t xml:space="preserve"> </w:t>
      </w:r>
      <w:proofErr w:type="spellStart"/>
      <w:r w:rsidR="002532B3" w:rsidRPr="00044953">
        <w:rPr>
          <w:rFonts w:ascii="Arial" w:hAnsi="Arial" w:cs="Arial"/>
          <w:color w:val="404040"/>
        </w:rPr>
        <w:t>Diphenylether</w:t>
      </w:r>
      <w:proofErr w:type="spellEnd"/>
      <w:r w:rsidR="002532B3" w:rsidRPr="00044953">
        <w:rPr>
          <w:rFonts w:ascii="Arial" w:hAnsi="Arial" w:cs="Arial"/>
          <w:color w:val="404040"/>
        </w:rPr>
        <w:t xml:space="preserve"> (</w:t>
      </w:r>
      <w:r w:rsidR="002532B3" w:rsidRPr="00044953">
        <w:rPr>
          <w:rFonts w:ascii="Tahoma" w:hAnsi="Tahoma" w:cs="Tahoma"/>
          <w:color w:val="404040"/>
        </w:rPr>
        <w:t>⁠</w:t>
      </w:r>
      <w:hyperlink r:id="rId8" w:anchor="alphabar" w:tgtFrame="_blank" w:history="1">
        <w:r w:rsidR="002532B3" w:rsidRPr="00044953">
          <w:rPr>
            <w:rStyle w:val="Hyperlink"/>
            <w:rFonts w:ascii="Arial" w:hAnsi="Arial" w:cs="Arial"/>
            <w:color w:val="404040"/>
            <w:u w:val="none"/>
          </w:rPr>
          <w:t>PBDE</w:t>
        </w:r>
      </w:hyperlink>
      <w:r w:rsidR="002532B3" w:rsidRPr="00044953">
        <w:rPr>
          <w:rFonts w:ascii="Tahoma" w:hAnsi="Tahoma" w:cs="Tahoma"/>
          <w:color w:val="404040"/>
        </w:rPr>
        <w:t>⁠</w:t>
      </w:r>
      <w:r w:rsidR="002532B3" w:rsidRPr="00044953">
        <w:rPr>
          <w:rFonts w:ascii="Arial" w:hAnsi="Arial" w:cs="Arial"/>
          <w:color w:val="404040"/>
        </w:rPr>
        <w:t xml:space="preserve">), Polychlorierte </w:t>
      </w:r>
      <w:proofErr w:type="spellStart"/>
      <w:r w:rsidR="002532B3" w:rsidRPr="00044953">
        <w:rPr>
          <w:rFonts w:ascii="Arial" w:hAnsi="Arial" w:cs="Arial"/>
          <w:color w:val="404040"/>
        </w:rPr>
        <w:t>Dibenzodioxine</w:t>
      </w:r>
      <w:proofErr w:type="spellEnd"/>
      <w:r w:rsidR="002532B3" w:rsidRPr="00044953">
        <w:rPr>
          <w:rFonts w:ascii="Arial" w:hAnsi="Arial" w:cs="Arial"/>
          <w:color w:val="404040"/>
        </w:rPr>
        <w:t xml:space="preserve"> und -furane (</w:t>
      </w:r>
      <w:r w:rsidR="002532B3" w:rsidRPr="00044953">
        <w:rPr>
          <w:rFonts w:ascii="Tahoma" w:hAnsi="Tahoma" w:cs="Tahoma"/>
          <w:color w:val="404040"/>
        </w:rPr>
        <w:t>⁠</w:t>
      </w:r>
      <w:hyperlink r:id="rId9" w:anchor="alphabar" w:tgtFrame="_blank" w:history="1">
        <w:r w:rsidR="002532B3" w:rsidRPr="00044953">
          <w:rPr>
            <w:rStyle w:val="Hyperlink"/>
            <w:rFonts w:ascii="Arial" w:hAnsi="Arial" w:cs="Arial"/>
            <w:color w:val="404040"/>
            <w:u w:val="none"/>
          </w:rPr>
          <w:t>PCDD/PCDF</w:t>
        </w:r>
      </w:hyperlink>
      <w:r w:rsidR="002532B3" w:rsidRPr="00044953">
        <w:rPr>
          <w:rFonts w:ascii="Tahoma" w:hAnsi="Tahoma" w:cs="Tahoma"/>
          <w:color w:val="404040"/>
        </w:rPr>
        <w:t>⁠</w:t>
      </w:r>
      <w:r w:rsidR="002532B3" w:rsidRPr="00044953">
        <w:rPr>
          <w:rFonts w:ascii="Arial" w:hAnsi="Arial" w:cs="Arial"/>
          <w:color w:val="404040"/>
        </w:rPr>
        <w:t xml:space="preserve">), Polychlorierte </w:t>
      </w:r>
      <w:proofErr w:type="spellStart"/>
      <w:r w:rsidR="002532B3" w:rsidRPr="00044953">
        <w:rPr>
          <w:rFonts w:ascii="Arial" w:hAnsi="Arial" w:cs="Arial"/>
          <w:color w:val="404040"/>
        </w:rPr>
        <w:t>Biphenyle</w:t>
      </w:r>
      <w:proofErr w:type="spellEnd"/>
      <w:r w:rsidR="002532B3" w:rsidRPr="00044953">
        <w:rPr>
          <w:rFonts w:ascii="Arial" w:hAnsi="Arial" w:cs="Arial"/>
          <w:color w:val="404040"/>
        </w:rPr>
        <w:t xml:space="preserve"> (</w:t>
      </w:r>
      <w:r w:rsidR="002532B3" w:rsidRPr="00044953">
        <w:rPr>
          <w:rFonts w:ascii="Tahoma" w:hAnsi="Tahoma" w:cs="Tahoma"/>
          <w:color w:val="404040"/>
        </w:rPr>
        <w:t>⁠</w:t>
      </w:r>
      <w:hyperlink r:id="rId10" w:anchor="alphabar" w:tgtFrame="_blank" w:history="1">
        <w:r w:rsidR="002532B3" w:rsidRPr="00044953">
          <w:rPr>
            <w:rStyle w:val="Hyperlink"/>
            <w:rFonts w:ascii="Arial" w:hAnsi="Arial" w:cs="Arial"/>
            <w:color w:val="404040"/>
            <w:u w:val="none"/>
          </w:rPr>
          <w:t>PCB</w:t>
        </w:r>
      </w:hyperlink>
      <w:r w:rsidR="002532B3" w:rsidRPr="00044953">
        <w:rPr>
          <w:rFonts w:ascii="Tahoma" w:hAnsi="Tahoma" w:cs="Tahoma"/>
          <w:color w:val="404040"/>
        </w:rPr>
        <w:t>⁠</w:t>
      </w:r>
      <w:r w:rsidR="002532B3" w:rsidRPr="00044953">
        <w:rPr>
          <w:rFonts w:ascii="Arial" w:hAnsi="Arial" w:cs="Arial"/>
          <w:color w:val="404040"/>
        </w:rPr>
        <w:t>), Polycyclische Moschusverbindungen</w:t>
      </w:r>
      <w:r w:rsidRPr="00044953">
        <w:rPr>
          <w:rFonts w:ascii="Arial" w:hAnsi="Arial" w:cs="Arial"/>
        </w:rPr>
        <w:t xml:space="preserve">. </w:t>
      </w:r>
      <w:r w:rsidR="002155C7" w:rsidRPr="00044953">
        <w:rPr>
          <w:rFonts w:ascii="Arial" w:hAnsi="Arial" w:cs="Arial"/>
        </w:rPr>
        <w:t>Das Datenmanagement der</w:t>
      </w:r>
      <w:r w:rsidR="00704B51" w:rsidRPr="00044953">
        <w:rPr>
          <w:rFonts w:ascii="Arial" w:hAnsi="Arial" w:cs="Arial"/>
        </w:rPr>
        <w:t xml:space="preserve"> Datenbank wird vom UBA und vom Bundesamt für Verbraucherschutz und Lebensmittelsicherheit (BVL) arbeitsteilig wahrgenommen.</w:t>
      </w:r>
    </w:p>
    <w:p w:rsidR="005F4F0E" w:rsidRPr="00044953" w:rsidRDefault="005F4F0E">
      <w:pPr>
        <w:rPr>
          <w:rFonts w:ascii="Arial" w:hAnsi="Arial" w:cs="Arial"/>
        </w:rPr>
      </w:pPr>
      <w:r w:rsidRPr="00044953">
        <w:rPr>
          <w:rFonts w:ascii="Arial" w:hAnsi="Arial" w:cs="Arial"/>
        </w:rPr>
        <w:t xml:space="preserve">Untersuchungsergebnisse der amtlichen Lebensmittelüberwachung und aus bundesweit koordinierten Überwachungsprogrammen zu Kontaminationen von Lebensmitteln werden in einer Datenbank beim </w:t>
      </w:r>
      <w:r w:rsidR="00485AD9" w:rsidRPr="00044953">
        <w:rPr>
          <w:rFonts w:ascii="Arial" w:hAnsi="Arial" w:cs="Arial"/>
        </w:rPr>
        <w:t>B</w:t>
      </w:r>
      <w:r w:rsidRPr="00044953">
        <w:rPr>
          <w:rFonts w:ascii="Arial" w:hAnsi="Arial" w:cs="Arial"/>
        </w:rPr>
        <w:t>VL gespeichert</w:t>
      </w:r>
      <w:r w:rsidR="00156B88" w:rsidRPr="00044953">
        <w:rPr>
          <w:rFonts w:ascii="Arial" w:hAnsi="Arial" w:cs="Arial"/>
        </w:rPr>
        <w:t xml:space="preserve"> und </w:t>
      </w:r>
      <w:r w:rsidR="001B7847" w:rsidRPr="00044953">
        <w:rPr>
          <w:rFonts w:ascii="Arial" w:hAnsi="Arial" w:cs="Arial"/>
          <w:color w:val="404040"/>
        </w:rPr>
        <w:t>in regelmäßigen Abständen</w:t>
      </w:r>
      <w:r w:rsidR="00156B88" w:rsidRPr="00044953">
        <w:rPr>
          <w:rFonts w:ascii="Arial" w:hAnsi="Arial" w:cs="Arial"/>
          <w:color w:val="404040"/>
        </w:rPr>
        <w:t xml:space="preserve"> in die POP-Dioxin-Datenbank integriert</w:t>
      </w:r>
      <w:r w:rsidRPr="00044953">
        <w:rPr>
          <w:rFonts w:ascii="Arial" w:hAnsi="Arial" w:cs="Arial"/>
        </w:rPr>
        <w:t xml:space="preserve">. Jährlich gehen hier </w:t>
      </w:r>
      <w:r w:rsidR="00803E69" w:rsidRPr="00044953">
        <w:rPr>
          <w:rFonts w:ascii="Arial" w:hAnsi="Arial" w:cs="Arial"/>
        </w:rPr>
        <w:t>mehrere</w:t>
      </w:r>
      <w:r w:rsidRPr="00044953">
        <w:rPr>
          <w:rFonts w:ascii="Arial" w:hAnsi="Arial" w:cs="Arial"/>
        </w:rPr>
        <w:t xml:space="preserve"> Millionen </w:t>
      </w:r>
      <w:r w:rsidR="00803E69" w:rsidRPr="00044953">
        <w:rPr>
          <w:rFonts w:ascii="Arial" w:hAnsi="Arial" w:cs="Arial"/>
        </w:rPr>
        <w:t>Analyse</w:t>
      </w:r>
      <w:r w:rsidRPr="00044953">
        <w:rPr>
          <w:rFonts w:ascii="Arial" w:hAnsi="Arial" w:cs="Arial"/>
        </w:rPr>
        <w:t xml:space="preserve">ergebnisse u. a. zu Pflanzenschutzmittelrückständen, </w:t>
      </w:r>
      <w:proofErr w:type="spellStart"/>
      <w:r w:rsidRPr="00044953">
        <w:rPr>
          <w:rFonts w:ascii="Arial" w:hAnsi="Arial" w:cs="Arial"/>
        </w:rPr>
        <w:t>Organochlorpestiziden</w:t>
      </w:r>
      <w:proofErr w:type="spellEnd"/>
      <w:r w:rsidRPr="00044953">
        <w:rPr>
          <w:rFonts w:ascii="Arial" w:hAnsi="Arial" w:cs="Arial"/>
        </w:rPr>
        <w:t xml:space="preserve">, PCB, </w:t>
      </w:r>
      <w:proofErr w:type="spellStart"/>
      <w:r w:rsidRPr="00044953">
        <w:rPr>
          <w:rFonts w:ascii="Arial" w:hAnsi="Arial" w:cs="Arial"/>
        </w:rPr>
        <w:t>Mykotoxinen</w:t>
      </w:r>
      <w:proofErr w:type="spellEnd"/>
      <w:r w:rsidRPr="00044953">
        <w:rPr>
          <w:rFonts w:ascii="Arial" w:hAnsi="Arial" w:cs="Arial"/>
        </w:rPr>
        <w:t xml:space="preserve"> und Schwermetallen ein. Die Auswertungen zu PCB in Kuhmilch basieren auf den Daten dieser Datenbank. </w:t>
      </w:r>
    </w:p>
    <w:p w:rsidR="005F4F0E" w:rsidRPr="00044953" w:rsidRDefault="005F4F0E">
      <w:pPr>
        <w:rPr>
          <w:rFonts w:ascii="Arial" w:hAnsi="Arial" w:cs="Arial"/>
        </w:rPr>
      </w:pPr>
    </w:p>
    <w:p w:rsidR="005F4F0E" w:rsidRPr="00044953" w:rsidRDefault="005F4F0E">
      <w:pPr>
        <w:rPr>
          <w:rFonts w:ascii="Arial" w:hAnsi="Arial" w:cs="Arial"/>
        </w:rPr>
      </w:pPr>
      <w:r w:rsidRPr="00044953">
        <w:rPr>
          <w:rFonts w:ascii="Arial" w:hAnsi="Arial" w:cs="Arial"/>
          <w:b/>
        </w:rPr>
        <w:t>Datenhalter</w:t>
      </w:r>
    </w:p>
    <w:p w:rsidR="005F4F0E" w:rsidRPr="00044953" w:rsidRDefault="005F4F0E" w:rsidP="002155C7">
      <w:pPr>
        <w:numPr>
          <w:ilvl w:val="0"/>
          <w:numId w:val="4"/>
        </w:numPr>
        <w:tabs>
          <w:tab w:val="clear" w:pos="360"/>
          <w:tab w:val="num" w:pos="227"/>
        </w:tabs>
        <w:ind w:left="227" w:hanging="227"/>
        <w:rPr>
          <w:rFonts w:ascii="Arial" w:hAnsi="Arial" w:cs="Arial"/>
        </w:rPr>
      </w:pPr>
      <w:r w:rsidRPr="00044953">
        <w:rPr>
          <w:rFonts w:ascii="Arial" w:hAnsi="Arial" w:cs="Arial"/>
        </w:rPr>
        <w:t>Umweltbundesamt</w:t>
      </w:r>
      <w:r w:rsidR="00D07391" w:rsidRPr="00044953">
        <w:rPr>
          <w:rFonts w:ascii="Arial" w:hAnsi="Arial" w:cs="Arial"/>
        </w:rPr>
        <w:t xml:space="preserve"> (UBA)</w:t>
      </w:r>
    </w:p>
    <w:p w:rsidR="005F4F0E" w:rsidRPr="00044953" w:rsidRDefault="005F4F0E" w:rsidP="002155C7">
      <w:pPr>
        <w:numPr>
          <w:ilvl w:val="0"/>
          <w:numId w:val="4"/>
        </w:numPr>
        <w:tabs>
          <w:tab w:val="clear" w:pos="360"/>
          <w:tab w:val="num" w:pos="227"/>
        </w:tabs>
        <w:ind w:left="227" w:hanging="227"/>
        <w:rPr>
          <w:rFonts w:ascii="Arial" w:hAnsi="Arial" w:cs="Arial"/>
        </w:rPr>
      </w:pPr>
      <w:r w:rsidRPr="00044953">
        <w:rPr>
          <w:rFonts w:ascii="Arial" w:hAnsi="Arial" w:cs="Arial"/>
        </w:rPr>
        <w:t>Bundesamt für Verbraucherschutz und Lebensmittelsicherheit</w:t>
      </w:r>
      <w:r w:rsidR="00D07391" w:rsidRPr="00044953">
        <w:rPr>
          <w:rFonts w:ascii="Arial" w:hAnsi="Arial" w:cs="Arial"/>
        </w:rPr>
        <w:t xml:space="preserve"> (BVL)</w:t>
      </w:r>
    </w:p>
    <w:p w:rsidR="005F4F0E" w:rsidRPr="00044953" w:rsidRDefault="005F4F0E">
      <w:pPr>
        <w:rPr>
          <w:rFonts w:ascii="Arial" w:hAnsi="Arial" w:cs="Arial"/>
        </w:rPr>
      </w:pPr>
    </w:p>
    <w:p w:rsidR="005F4F0E" w:rsidRPr="00044953" w:rsidRDefault="005F4F0E" w:rsidP="0000126E">
      <w:pPr>
        <w:rPr>
          <w:rFonts w:ascii="Arial" w:hAnsi="Arial" w:cs="Arial"/>
          <w:b/>
        </w:rPr>
      </w:pPr>
      <w:r w:rsidRPr="00044953">
        <w:rPr>
          <w:rFonts w:ascii="Arial" w:hAnsi="Arial" w:cs="Arial"/>
          <w:b/>
        </w:rPr>
        <w:t>Datenquelle</w:t>
      </w:r>
    </w:p>
    <w:p w:rsidR="005F4F0E" w:rsidRPr="00044953" w:rsidRDefault="00803E69" w:rsidP="002155C7">
      <w:pPr>
        <w:numPr>
          <w:ilvl w:val="0"/>
          <w:numId w:val="4"/>
        </w:numPr>
        <w:tabs>
          <w:tab w:val="clear" w:pos="360"/>
          <w:tab w:val="num" w:pos="227"/>
        </w:tabs>
        <w:ind w:left="227" w:hanging="227"/>
        <w:rPr>
          <w:rFonts w:ascii="Arial" w:hAnsi="Arial" w:cs="Arial"/>
        </w:rPr>
      </w:pPr>
      <w:r w:rsidRPr="00044953">
        <w:rPr>
          <w:rFonts w:ascii="Arial" w:hAnsi="Arial" w:cs="Arial"/>
        </w:rPr>
        <w:t>POP-</w:t>
      </w:r>
      <w:r w:rsidR="005F4F0E" w:rsidRPr="00044953">
        <w:rPr>
          <w:rFonts w:ascii="Arial" w:hAnsi="Arial" w:cs="Arial"/>
        </w:rPr>
        <w:t>Dioxin-Datenbank des Bundes und der Länder</w:t>
      </w:r>
    </w:p>
    <w:p w:rsidR="005F4F0E" w:rsidRPr="00044953" w:rsidRDefault="005F4F0E" w:rsidP="002155C7">
      <w:pPr>
        <w:numPr>
          <w:ilvl w:val="0"/>
          <w:numId w:val="4"/>
        </w:numPr>
        <w:tabs>
          <w:tab w:val="clear" w:pos="360"/>
          <w:tab w:val="num" w:pos="227"/>
        </w:tabs>
        <w:ind w:left="227" w:hanging="227"/>
        <w:rPr>
          <w:rFonts w:ascii="Arial" w:hAnsi="Arial" w:cs="Arial"/>
        </w:rPr>
      </w:pPr>
      <w:r w:rsidRPr="00044953">
        <w:rPr>
          <w:rFonts w:ascii="Arial" w:hAnsi="Arial" w:cs="Arial"/>
        </w:rPr>
        <w:t xml:space="preserve">Datenbank des </w:t>
      </w:r>
      <w:r w:rsidR="00814344" w:rsidRPr="00044953">
        <w:rPr>
          <w:rFonts w:ascii="Arial" w:hAnsi="Arial" w:cs="Arial"/>
        </w:rPr>
        <w:t>BVL</w:t>
      </w:r>
    </w:p>
    <w:p w:rsidR="005F4F0E" w:rsidRPr="00044953" w:rsidRDefault="005F4F0E">
      <w:pPr>
        <w:rPr>
          <w:rFonts w:ascii="Arial" w:hAnsi="Arial" w:cs="Arial"/>
        </w:rPr>
      </w:pPr>
    </w:p>
    <w:p w:rsidR="005F4F0E" w:rsidRPr="00044953" w:rsidRDefault="005F4F0E">
      <w:pPr>
        <w:rPr>
          <w:rFonts w:ascii="Arial" w:hAnsi="Arial" w:cs="Arial"/>
        </w:rPr>
      </w:pPr>
      <w:r w:rsidRPr="00044953">
        <w:rPr>
          <w:rFonts w:ascii="Arial" w:hAnsi="Arial" w:cs="Arial"/>
          <w:b/>
        </w:rPr>
        <w:t>Periodizität</w:t>
      </w:r>
    </w:p>
    <w:p w:rsidR="005F4F0E" w:rsidRPr="00044953" w:rsidRDefault="005F4F0E">
      <w:pPr>
        <w:rPr>
          <w:rFonts w:ascii="Arial" w:hAnsi="Arial" w:cs="Arial"/>
        </w:rPr>
      </w:pPr>
      <w:r w:rsidRPr="00044953">
        <w:rPr>
          <w:rFonts w:ascii="Arial" w:hAnsi="Arial" w:cs="Arial"/>
        </w:rPr>
        <w:t>Jährlich</w:t>
      </w:r>
    </w:p>
    <w:p w:rsidR="005F4F0E" w:rsidRPr="00044953" w:rsidRDefault="005F4F0E">
      <w:pPr>
        <w:rPr>
          <w:rFonts w:ascii="Arial" w:hAnsi="Arial" w:cs="Arial"/>
        </w:rPr>
      </w:pPr>
    </w:p>
    <w:p w:rsidR="005F4F0E" w:rsidRPr="00044953" w:rsidRDefault="005F4F0E">
      <w:pPr>
        <w:rPr>
          <w:rFonts w:ascii="Arial" w:hAnsi="Arial" w:cs="Arial"/>
        </w:rPr>
      </w:pPr>
      <w:r w:rsidRPr="00044953">
        <w:rPr>
          <w:rFonts w:ascii="Arial" w:hAnsi="Arial" w:cs="Arial"/>
          <w:b/>
        </w:rPr>
        <w:t>Validität</w:t>
      </w:r>
    </w:p>
    <w:p w:rsidR="005F4F0E" w:rsidRPr="00044953" w:rsidRDefault="005F4F0E">
      <w:pPr>
        <w:rPr>
          <w:rFonts w:ascii="Arial" w:hAnsi="Arial" w:cs="Arial"/>
        </w:rPr>
      </w:pPr>
      <w:r w:rsidRPr="00044953">
        <w:rPr>
          <w:rFonts w:ascii="Arial" w:hAnsi="Arial" w:cs="Arial"/>
        </w:rPr>
        <w:t xml:space="preserve">Daten zu Frauenmilch wurden in </w:t>
      </w:r>
      <w:r w:rsidR="00814344" w:rsidRPr="00044953">
        <w:rPr>
          <w:rFonts w:ascii="Arial" w:hAnsi="Arial" w:cs="Arial"/>
        </w:rPr>
        <w:t>einigen</w:t>
      </w:r>
      <w:r w:rsidRPr="00044953">
        <w:rPr>
          <w:rFonts w:ascii="Arial" w:hAnsi="Arial" w:cs="Arial"/>
        </w:rPr>
        <w:t xml:space="preserve"> Jahren nicht erhoben und fehlen dementsprechend. Die Messergebnisse zu PCB stellen eine valide Grundlage für den Indikator dar.</w:t>
      </w:r>
    </w:p>
    <w:p w:rsidR="005F4F0E" w:rsidRPr="00044953" w:rsidRDefault="005F4F0E">
      <w:pPr>
        <w:rPr>
          <w:rFonts w:ascii="Arial" w:hAnsi="Arial" w:cs="Arial"/>
        </w:rPr>
      </w:pPr>
    </w:p>
    <w:p w:rsidR="005F4F0E" w:rsidRPr="00044953" w:rsidRDefault="005F4F0E">
      <w:pPr>
        <w:rPr>
          <w:rFonts w:ascii="Arial" w:hAnsi="Arial" w:cs="Arial"/>
          <w:b/>
        </w:rPr>
      </w:pPr>
      <w:r w:rsidRPr="00044953">
        <w:rPr>
          <w:rFonts w:ascii="Arial" w:hAnsi="Arial" w:cs="Arial"/>
          <w:b/>
        </w:rPr>
        <w:t>Kommentar</w:t>
      </w:r>
    </w:p>
    <w:p w:rsidR="005F4F0E" w:rsidRPr="00044953" w:rsidRDefault="005F4F0E">
      <w:pPr>
        <w:rPr>
          <w:rFonts w:ascii="Arial" w:hAnsi="Arial" w:cs="Arial"/>
        </w:rPr>
      </w:pPr>
      <w:r w:rsidRPr="00044953">
        <w:rPr>
          <w:rFonts w:ascii="Arial" w:hAnsi="Arial" w:cs="Arial"/>
        </w:rPr>
        <w:t>Das Gesamt-PCB wird mit folgender Formel bestimmt: 1,64*(PCB 138 + PCB 153 + PCB 180).</w:t>
      </w:r>
    </w:p>
    <w:p w:rsidR="005F4F0E" w:rsidRPr="00044953" w:rsidRDefault="005F4F0E">
      <w:pPr>
        <w:rPr>
          <w:rFonts w:ascii="Arial" w:hAnsi="Arial" w:cs="Arial"/>
        </w:rPr>
      </w:pPr>
      <w:r w:rsidRPr="00044953">
        <w:rPr>
          <w:rFonts w:ascii="Arial" w:hAnsi="Arial" w:cs="Arial"/>
        </w:rPr>
        <w:lastRenderedPageBreak/>
        <w:t xml:space="preserve">Der Indikator wird als Bundesindikator geführt. </w:t>
      </w:r>
    </w:p>
    <w:p w:rsidR="005F4F0E" w:rsidRPr="00044953" w:rsidRDefault="005F4F0E" w:rsidP="002155C7">
      <w:pPr>
        <w:keepNext/>
        <w:keepLines/>
        <w:rPr>
          <w:rFonts w:ascii="Arial" w:hAnsi="Arial" w:cs="Arial"/>
        </w:rPr>
      </w:pPr>
      <w:r w:rsidRPr="00044953">
        <w:rPr>
          <w:rFonts w:ascii="Arial" w:hAnsi="Arial" w:cs="Arial"/>
        </w:rPr>
        <w:t>Folgende wesentliche Grundlagen wurden für die Auswahl und Interpretation des Indikators zu Grunde gelegt:</w:t>
      </w:r>
    </w:p>
    <w:p w:rsidR="005F4F0E" w:rsidRPr="00044953" w:rsidRDefault="005F4F0E" w:rsidP="002155C7">
      <w:pPr>
        <w:keepNext/>
        <w:keepLines/>
        <w:rPr>
          <w:rFonts w:ascii="Arial" w:hAnsi="Arial" w:cs="Arial"/>
        </w:rPr>
      </w:pPr>
      <w:r w:rsidRPr="00044953">
        <w:rPr>
          <w:rFonts w:ascii="Arial" w:hAnsi="Arial" w:cs="Arial"/>
        </w:rPr>
        <w:t xml:space="preserve">(1) </w:t>
      </w:r>
      <w:proofErr w:type="spellStart"/>
      <w:r w:rsidRPr="00044953">
        <w:rPr>
          <w:rFonts w:ascii="Arial" w:hAnsi="Arial" w:cs="Arial"/>
        </w:rPr>
        <w:t>Delschen</w:t>
      </w:r>
      <w:proofErr w:type="spellEnd"/>
      <w:r w:rsidRPr="00044953">
        <w:rPr>
          <w:rFonts w:ascii="Arial" w:hAnsi="Arial" w:cs="Arial"/>
        </w:rPr>
        <w:t xml:space="preserve">, T., </w:t>
      </w:r>
      <w:proofErr w:type="spellStart"/>
      <w:r w:rsidRPr="00044953">
        <w:rPr>
          <w:rFonts w:ascii="Arial" w:hAnsi="Arial" w:cs="Arial"/>
        </w:rPr>
        <w:t>Hembrock</w:t>
      </w:r>
      <w:proofErr w:type="spellEnd"/>
      <w:r w:rsidRPr="00044953">
        <w:rPr>
          <w:rFonts w:ascii="Arial" w:hAnsi="Arial" w:cs="Arial"/>
        </w:rPr>
        <w:t xml:space="preserve">-Heger, A., Necker, U. (1996): Systematische Untersuchungen zum Verhalten von PAK und PCB im System/Boden/Pflanze auf der </w:t>
      </w:r>
      <w:proofErr w:type="spellStart"/>
      <w:r w:rsidRPr="00044953">
        <w:rPr>
          <w:rFonts w:ascii="Arial" w:hAnsi="Arial" w:cs="Arial"/>
        </w:rPr>
        <w:t>Lysimeteranlage</w:t>
      </w:r>
      <w:proofErr w:type="spellEnd"/>
      <w:r w:rsidRPr="00044953">
        <w:rPr>
          <w:rFonts w:ascii="Arial" w:hAnsi="Arial" w:cs="Arial"/>
        </w:rPr>
        <w:t xml:space="preserve"> Waldfeucht (1989 - 1994). In: Landesumweltamt NRW (Hrsg.): </w:t>
      </w:r>
      <w:proofErr w:type="spellStart"/>
      <w:r w:rsidRPr="00044953">
        <w:rPr>
          <w:rFonts w:ascii="Arial" w:hAnsi="Arial" w:cs="Arial"/>
        </w:rPr>
        <w:t>Lysimeterversuche</w:t>
      </w:r>
      <w:proofErr w:type="spellEnd"/>
      <w:r w:rsidRPr="00044953">
        <w:rPr>
          <w:rFonts w:ascii="Arial" w:hAnsi="Arial" w:cs="Arial"/>
        </w:rPr>
        <w:t xml:space="preserve"> zum Verhalten persistenter organischer Schadstoffe im System Boden/Pflanze (Materialien zur Ermittlung und Sanierung von Altlasten; Bd. 13).</w:t>
      </w:r>
    </w:p>
    <w:p w:rsidR="005F4F0E" w:rsidRPr="00044953" w:rsidRDefault="005F4F0E" w:rsidP="002155C7">
      <w:pPr>
        <w:keepNext/>
        <w:keepLines/>
        <w:rPr>
          <w:rFonts w:ascii="Arial" w:hAnsi="Arial" w:cs="Arial"/>
        </w:rPr>
      </w:pPr>
      <w:r w:rsidRPr="00044953">
        <w:rPr>
          <w:rFonts w:ascii="Arial" w:hAnsi="Arial" w:cs="Arial"/>
        </w:rPr>
        <w:t>(2) www.uvm.baden-wuerttemberg.de/alfaweb/berichte – Stand: 01.08.2002.</w:t>
      </w:r>
    </w:p>
    <w:p w:rsidR="005F4F0E" w:rsidRPr="00044953" w:rsidRDefault="005F4F0E" w:rsidP="00A93D3A">
      <w:pPr>
        <w:keepNext/>
        <w:rPr>
          <w:rFonts w:ascii="Arial" w:hAnsi="Arial" w:cs="Arial"/>
        </w:rPr>
      </w:pPr>
      <w:r w:rsidRPr="00044953">
        <w:rPr>
          <w:rFonts w:ascii="Arial" w:hAnsi="Arial" w:cs="Arial"/>
        </w:rPr>
        <w:t>Der Indikator zählt zur Gruppe der Gesundheitsdeterminanten.</w:t>
      </w:r>
    </w:p>
    <w:p w:rsidR="005F4F0E" w:rsidRPr="00044953" w:rsidRDefault="005F4F0E">
      <w:pPr>
        <w:rPr>
          <w:rFonts w:ascii="Arial" w:hAnsi="Arial" w:cs="Arial"/>
        </w:rPr>
      </w:pPr>
    </w:p>
    <w:p w:rsidR="005F4F0E" w:rsidRPr="00044953" w:rsidRDefault="005F4F0E">
      <w:pPr>
        <w:rPr>
          <w:rFonts w:ascii="Arial" w:hAnsi="Arial" w:cs="Arial"/>
        </w:rPr>
      </w:pPr>
      <w:r w:rsidRPr="00044953">
        <w:rPr>
          <w:rFonts w:ascii="Arial" w:hAnsi="Arial" w:cs="Arial"/>
          <w:b/>
        </w:rPr>
        <w:t>Vergleichbarkeit</w:t>
      </w:r>
    </w:p>
    <w:p w:rsidR="005F4F0E" w:rsidRPr="00044953" w:rsidRDefault="005F4F0E">
      <w:pPr>
        <w:rPr>
          <w:rFonts w:ascii="Arial" w:hAnsi="Arial" w:cs="Arial"/>
        </w:rPr>
      </w:pPr>
      <w:r w:rsidRPr="00044953">
        <w:rPr>
          <w:rFonts w:ascii="Arial" w:hAnsi="Arial" w:cs="Arial"/>
        </w:rPr>
        <w:t xml:space="preserve">Keine Vergleichbarkeit mit Indikatoren der WHO, OECD und der EU. Der Indikator ist mit dem NRW-Indikator 5.16 </w:t>
      </w:r>
      <w:r w:rsidR="00D07391" w:rsidRPr="00044953">
        <w:rPr>
          <w:rFonts w:ascii="Arial" w:hAnsi="Arial" w:cs="Arial"/>
        </w:rPr>
        <w:t xml:space="preserve">der zweiten Fassung des Indikatorensatzes von 1996 </w:t>
      </w:r>
      <w:r w:rsidRPr="00044953">
        <w:rPr>
          <w:rFonts w:ascii="Arial" w:hAnsi="Arial" w:cs="Arial"/>
        </w:rPr>
        <w:t>nicht vergleichbar.</w:t>
      </w:r>
    </w:p>
    <w:p w:rsidR="005F4F0E" w:rsidRPr="00044953" w:rsidRDefault="005F4F0E">
      <w:pPr>
        <w:rPr>
          <w:rFonts w:ascii="Arial" w:hAnsi="Arial" w:cs="Arial"/>
          <w:b/>
        </w:rPr>
      </w:pPr>
    </w:p>
    <w:p w:rsidR="005F4F0E" w:rsidRPr="00044953" w:rsidRDefault="005F4F0E">
      <w:pPr>
        <w:rPr>
          <w:rFonts w:ascii="Arial" w:hAnsi="Arial" w:cs="Arial"/>
          <w:b/>
        </w:rPr>
      </w:pPr>
      <w:r w:rsidRPr="00044953">
        <w:rPr>
          <w:rFonts w:ascii="Arial" w:hAnsi="Arial" w:cs="Arial"/>
          <w:b/>
        </w:rPr>
        <w:t>Originalquellen</w:t>
      </w:r>
    </w:p>
    <w:p w:rsidR="005F4F0E" w:rsidRPr="00044953" w:rsidRDefault="005F4F0E" w:rsidP="0000126E">
      <w:pPr>
        <w:numPr>
          <w:ilvl w:val="0"/>
          <w:numId w:val="6"/>
        </w:numPr>
        <w:tabs>
          <w:tab w:val="clear" w:pos="360"/>
          <w:tab w:val="num" w:pos="227"/>
        </w:tabs>
        <w:ind w:left="227" w:hanging="227"/>
        <w:rPr>
          <w:rFonts w:ascii="Arial" w:hAnsi="Arial" w:cs="Arial"/>
        </w:rPr>
      </w:pPr>
      <w:r w:rsidRPr="00044953">
        <w:rPr>
          <w:rFonts w:ascii="Arial" w:hAnsi="Arial" w:cs="Arial"/>
        </w:rPr>
        <w:t>Umweltbundesamt</w:t>
      </w:r>
      <w:r w:rsidR="001A0F31" w:rsidRPr="00044953">
        <w:rPr>
          <w:rFonts w:ascii="Arial" w:hAnsi="Arial" w:cs="Arial"/>
        </w:rPr>
        <w:t xml:space="preserve"> (UBA)</w:t>
      </w:r>
      <w:r w:rsidRPr="00044953">
        <w:rPr>
          <w:rFonts w:ascii="Arial" w:hAnsi="Arial" w:cs="Arial"/>
        </w:rPr>
        <w:br/>
        <w:t xml:space="preserve">Auswertungen aus der </w:t>
      </w:r>
      <w:r w:rsidR="001A0F31" w:rsidRPr="00044953">
        <w:rPr>
          <w:rFonts w:ascii="Arial" w:hAnsi="Arial" w:cs="Arial"/>
        </w:rPr>
        <w:t>POP-</w:t>
      </w:r>
      <w:r w:rsidRPr="00044953">
        <w:rPr>
          <w:rFonts w:ascii="Arial" w:hAnsi="Arial" w:cs="Arial"/>
        </w:rPr>
        <w:t>Dioxin-Datenbank des Bundes und der Länder 2002 ff.</w:t>
      </w:r>
    </w:p>
    <w:p w:rsidR="005F4F0E" w:rsidRPr="00044953" w:rsidRDefault="005F4F0E" w:rsidP="0000126E">
      <w:pPr>
        <w:numPr>
          <w:ilvl w:val="0"/>
          <w:numId w:val="6"/>
        </w:numPr>
        <w:tabs>
          <w:tab w:val="clear" w:pos="360"/>
          <w:tab w:val="num" w:pos="227"/>
        </w:tabs>
        <w:ind w:left="227" w:hanging="227"/>
        <w:rPr>
          <w:rFonts w:ascii="Arial" w:hAnsi="Arial" w:cs="Arial"/>
        </w:rPr>
      </w:pPr>
      <w:r w:rsidRPr="00044953">
        <w:rPr>
          <w:rFonts w:ascii="Arial" w:hAnsi="Arial" w:cs="Arial"/>
        </w:rPr>
        <w:t>Bundesamt für Verbrauchersc</w:t>
      </w:r>
      <w:r w:rsidR="00D07391" w:rsidRPr="00044953">
        <w:rPr>
          <w:rFonts w:ascii="Arial" w:hAnsi="Arial" w:cs="Arial"/>
        </w:rPr>
        <w:t>hutz und Lebensmittelsicherheit</w:t>
      </w:r>
      <w:r w:rsidR="00FE0E36" w:rsidRPr="00044953">
        <w:rPr>
          <w:rFonts w:ascii="Arial" w:hAnsi="Arial" w:cs="Arial"/>
        </w:rPr>
        <w:t xml:space="preserve"> (BVL)</w:t>
      </w:r>
      <w:r w:rsidR="00D07391" w:rsidRPr="00044953">
        <w:rPr>
          <w:rFonts w:ascii="Arial" w:hAnsi="Arial" w:cs="Arial"/>
        </w:rPr>
        <w:br/>
      </w:r>
      <w:r w:rsidRPr="00044953">
        <w:rPr>
          <w:rFonts w:ascii="Arial" w:hAnsi="Arial" w:cs="Arial"/>
        </w:rPr>
        <w:t xml:space="preserve">Auswertungen aus der Datenbank des </w:t>
      </w:r>
      <w:r w:rsidR="00FE0E36" w:rsidRPr="00044953">
        <w:rPr>
          <w:rFonts w:ascii="Arial" w:hAnsi="Arial" w:cs="Arial"/>
        </w:rPr>
        <w:t>BVL</w:t>
      </w:r>
      <w:r w:rsidRPr="00044953">
        <w:rPr>
          <w:rFonts w:ascii="Arial" w:hAnsi="Arial" w:cs="Arial"/>
        </w:rPr>
        <w:t xml:space="preserve"> 2002 ff.</w:t>
      </w:r>
    </w:p>
    <w:p w:rsidR="005F4F0E" w:rsidRPr="00044953" w:rsidRDefault="005F4F0E">
      <w:pPr>
        <w:rPr>
          <w:rFonts w:ascii="Arial" w:hAnsi="Arial" w:cs="Arial"/>
        </w:rPr>
      </w:pPr>
    </w:p>
    <w:p w:rsidR="005F4F0E" w:rsidRPr="00044953" w:rsidRDefault="005F4F0E" w:rsidP="0000126E">
      <w:pPr>
        <w:rPr>
          <w:rFonts w:ascii="Arial" w:hAnsi="Arial" w:cs="Arial"/>
          <w:b/>
        </w:rPr>
      </w:pPr>
      <w:r w:rsidRPr="00044953">
        <w:rPr>
          <w:rFonts w:ascii="Arial" w:hAnsi="Arial" w:cs="Arial"/>
          <w:b/>
        </w:rPr>
        <w:t>Dokumentationsstand</w:t>
      </w:r>
    </w:p>
    <w:p w:rsidR="005F4F0E" w:rsidRPr="00044953" w:rsidRDefault="00FE0E36">
      <w:pPr>
        <w:rPr>
          <w:rFonts w:ascii="Arial" w:hAnsi="Arial" w:cs="Arial"/>
        </w:rPr>
      </w:pPr>
      <w:r w:rsidRPr="00044953">
        <w:rPr>
          <w:rFonts w:ascii="Arial" w:hAnsi="Arial" w:cs="Arial"/>
        </w:rPr>
        <w:t>20.01.2022</w:t>
      </w:r>
      <w:r w:rsidR="00D07391" w:rsidRPr="00044953">
        <w:rPr>
          <w:rFonts w:ascii="Arial" w:hAnsi="Arial" w:cs="Arial"/>
        </w:rPr>
        <w:t>, LZG.NRW</w:t>
      </w:r>
    </w:p>
    <w:sectPr w:rsidR="005F4F0E" w:rsidRPr="0004495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3A" w:rsidRDefault="00530C3A" w:rsidP="0099491D">
      <w:r>
        <w:separator/>
      </w:r>
    </w:p>
  </w:endnote>
  <w:endnote w:type="continuationSeparator" w:id="0">
    <w:p w:rsidR="00530C3A" w:rsidRDefault="00530C3A" w:rsidP="0099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D" w:rsidRDefault="009949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D" w:rsidRDefault="009949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D" w:rsidRDefault="009949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3A" w:rsidRDefault="00530C3A" w:rsidP="0099491D">
      <w:r>
        <w:separator/>
      </w:r>
    </w:p>
  </w:footnote>
  <w:footnote w:type="continuationSeparator" w:id="0">
    <w:p w:rsidR="00530C3A" w:rsidRDefault="00530C3A" w:rsidP="0099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D" w:rsidRDefault="00994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D" w:rsidRDefault="009949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D" w:rsidRDefault="009949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FB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A84044"/>
    <w:multiLevelType w:val="singleLevel"/>
    <w:tmpl w:val="22B6ED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FE4B81"/>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6F1877"/>
    <w:multiLevelType w:val="singleLevel"/>
    <w:tmpl w:val="22B6ED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442C75"/>
    <w:multiLevelType w:val="singleLevel"/>
    <w:tmpl w:val="22B6ED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4648D6"/>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12"/>
    <w:rsid w:val="0000126E"/>
    <w:rsid w:val="00044953"/>
    <w:rsid w:val="000B0AAB"/>
    <w:rsid w:val="00156B88"/>
    <w:rsid w:val="001A0F31"/>
    <w:rsid w:val="001B7847"/>
    <w:rsid w:val="001F6312"/>
    <w:rsid w:val="002155C7"/>
    <w:rsid w:val="00231C83"/>
    <w:rsid w:val="002532B3"/>
    <w:rsid w:val="003810EF"/>
    <w:rsid w:val="00464FA2"/>
    <w:rsid w:val="00485AD9"/>
    <w:rsid w:val="00530C3A"/>
    <w:rsid w:val="00546225"/>
    <w:rsid w:val="005F4F0E"/>
    <w:rsid w:val="00704B51"/>
    <w:rsid w:val="00803E69"/>
    <w:rsid w:val="00814344"/>
    <w:rsid w:val="00831019"/>
    <w:rsid w:val="0099491D"/>
    <w:rsid w:val="00A47A67"/>
    <w:rsid w:val="00A93D3A"/>
    <w:rsid w:val="00C02657"/>
    <w:rsid w:val="00D07391"/>
    <w:rsid w:val="00D34193"/>
    <w:rsid w:val="00ED7A8F"/>
    <w:rsid w:val="00F77715"/>
    <w:rsid w:val="00FE0E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D70139-C084-4407-ABCB-256AFEDC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unhideWhenUsed/>
    <w:rsid w:val="002532B3"/>
    <w:rPr>
      <w:color w:val="0000FF"/>
      <w:u w:val="single"/>
    </w:rPr>
  </w:style>
  <w:style w:type="paragraph" w:styleId="Sprechblasentext">
    <w:name w:val="Balloon Text"/>
    <w:basedOn w:val="Standard"/>
    <w:link w:val="SprechblasentextZchn"/>
    <w:uiPriority w:val="99"/>
    <w:semiHidden/>
    <w:unhideWhenUsed/>
    <w:rsid w:val="002532B3"/>
    <w:rPr>
      <w:rFonts w:ascii="Segoe UI" w:hAnsi="Segoe UI" w:cs="Segoe UI"/>
      <w:sz w:val="18"/>
      <w:szCs w:val="18"/>
    </w:rPr>
  </w:style>
  <w:style w:type="character" w:customStyle="1" w:styleId="SprechblasentextZchn">
    <w:name w:val="Sprechblasentext Zchn"/>
    <w:link w:val="Sprechblasentext"/>
    <w:uiPriority w:val="99"/>
    <w:semiHidden/>
    <w:rsid w:val="002532B3"/>
    <w:rPr>
      <w:rFonts w:ascii="Segoe UI" w:hAnsi="Segoe UI" w:cs="Segoe UI"/>
      <w:sz w:val="18"/>
      <w:szCs w:val="18"/>
    </w:rPr>
  </w:style>
  <w:style w:type="paragraph" w:styleId="Kopfzeile">
    <w:name w:val="header"/>
    <w:basedOn w:val="Standard"/>
    <w:link w:val="KopfzeileZchn"/>
    <w:uiPriority w:val="99"/>
    <w:unhideWhenUsed/>
    <w:rsid w:val="0099491D"/>
    <w:pPr>
      <w:tabs>
        <w:tab w:val="center" w:pos="4536"/>
        <w:tab w:val="right" w:pos="9072"/>
      </w:tabs>
    </w:pPr>
  </w:style>
  <w:style w:type="character" w:customStyle="1" w:styleId="KopfzeileZchn">
    <w:name w:val="Kopfzeile Zchn"/>
    <w:basedOn w:val="Absatz-Standardschriftart"/>
    <w:link w:val="Kopfzeile"/>
    <w:uiPriority w:val="99"/>
    <w:rsid w:val="0099491D"/>
  </w:style>
  <w:style w:type="paragraph" w:styleId="Fuzeile">
    <w:name w:val="footer"/>
    <w:basedOn w:val="Standard"/>
    <w:link w:val="FuzeileZchn"/>
    <w:uiPriority w:val="99"/>
    <w:unhideWhenUsed/>
    <w:rsid w:val="0099491D"/>
    <w:pPr>
      <w:tabs>
        <w:tab w:val="center" w:pos="4536"/>
        <w:tab w:val="right" w:pos="9072"/>
      </w:tabs>
    </w:pPr>
  </w:style>
  <w:style w:type="character" w:customStyle="1" w:styleId="FuzeileZchn">
    <w:name w:val="Fußzeile Zchn"/>
    <w:basedOn w:val="Absatz-Standardschriftart"/>
    <w:link w:val="Fuzeile"/>
    <w:uiPriority w:val="99"/>
    <w:rsid w:val="00994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weltbundesamt.de/service/glossar/p?tag=PB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mweltbundesamt.de/service/glossar/p?tag=PCB" TargetMode="External"/><Relationship Id="rId4" Type="http://schemas.openxmlformats.org/officeDocument/2006/relationships/settings" Target="settings.xml"/><Relationship Id="rId9" Type="http://schemas.openxmlformats.org/officeDocument/2006/relationships/hyperlink" Target="https://www.umweltbundesamt.de/service/glossar/p?tag=PCDDPCDF"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01E4-2336-4B12-9320-03B00C4A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5688</CharactersWithSpaces>
  <SharedDoc>false</SharedDoc>
  <HLinks>
    <vt:vector size="18" baseType="variant">
      <vt:variant>
        <vt:i4>1114118</vt:i4>
      </vt:variant>
      <vt:variant>
        <vt:i4>9</vt:i4>
      </vt:variant>
      <vt:variant>
        <vt:i4>0</vt:i4>
      </vt:variant>
      <vt:variant>
        <vt:i4>5</vt:i4>
      </vt:variant>
      <vt:variant>
        <vt:lpwstr>https://www.umweltbundesamt.de/service/glossar/p?tag=PCB</vt:lpwstr>
      </vt:variant>
      <vt:variant>
        <vt:lpwstr>alphabar</vt:lpwstr>
      </vt:variant>
      <vt:variant>
        <vt:i4>196609</vt:i4>
      </vt:variant>
      <vt:variant>
        <vt:i4>6</vt:i4>
      </vt:variant>
      <vt:variant>
        <vt:i4>0</vt:i4>
      </vt:variant>
      <vt:variant>
        <vt:i4>5</vt:i4>
      </vt:variant>
      <vt:variant>
        <vt:lpwstr>https://www.umweltbundesamt.de/service/glossar/p?tag=PCDDPCDF</vt:lpwstr>
      </vt:variant>
      <vt:variant>
        <vt:lpwstr>alphabar</vt:lpwstr>
      </vt:variant>
      <vt:variant>
        <vt:i4>1507335</vt:i4>
      </vt:variant>
      <vt:variant>
        <vt:i4>3</vt:i4>
      </vt:variant>
      <vt:variant>
        <vt:i4>0</vt:i4>
      </vt:variant>
      <vt:variant>
        <vt:i4>5</vt:i4>
      </vt:variant>
      <vt:variant>
        <vt:lpwstr>https://www.umweltbundesamt.de/service/glossar/p?tag=PBDE</vt:lpwstr>
      </vt:variant>
      <vt:variant>
        <vt:lpwstr>alphabar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3</cp:revision>
  <cp:lastPrinted>2022-01-20T09:41:00Z</cp:lastPrinted>
  <dcterms:created xsi:type="dcterms:W3CDTF">2022-02-17T07:35:00Z</dcterms:created>
  <dcterms:modified xsi:type="dcterms:W3CDTF">2022-02-17T11:35:00Z</dcterms:modified>
</cp:coreProperties>
</file>