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3A" w:rsidRPr="00AA5647" w:rsidRDefault="009E5A3A">
      <w:pPr>
        <w:rPr>
          <w:rFonts w:ascii="Arial" w:hAnsi="Arial" w:cs="Arial"/>
          <w:b/>
        </w:rPr>
      </w:pPr>
      <w:r w:rsidRPr="00AA5647">
        <w:rPr>
          <w:rFonts w:ascii="Arial" w:hAnsi="Arial" w:cs="Arial"/>
          <w:b/>
        </w:rPr>
        <w:t>Indikator 5.10 (B)</w:t>
      </w:r>
    </w:p>
    <w:p w:rsidR="009E5A3A" w:rsidRPr="00AA5647" w:rsidRDefault="009E5A3A">
      <w:pPr>
        <w:rPr>
          <w:rFonts w:ascii="Arial" w:hAnsi="Arial" w:cs="Arial"/>
          <w:b/>
        </w:rPr>
      </w:pPr>
      <w:r w:rsidRPr="00AA5647">
        <w:rPr>
          <w:rFonts w:ascii="Arial" w:hAnsi="Arial" w:cs="Arial"/>
          <w:b/>
        </w:rPr>
        <w:t>Dioxine in der Kuhmilch und in der Frauenmilch, Deutschland, im Zeitvergleich</w:t>
      </w:r>
    </w:p>
    <w:p w:rsidR="009E5A3A" w:rsidRPr="00AA5647" w:rsidRDefault="009E5A3A">
      <w:pPr>
        <w:rPr>
          <w:rFonts w:ascii="Arial" w:hAnsi="Arial" w:cs="Arial"/>
          <w:b/>
        </w:rPr>
      </w:pPr>
    </w:p>
    <w:p w:rsidR="009E5A3A" w:rsidRPr="00AA5647" w:rsidRDefault="009E5A3A">
      <w:pPr>
        <w:rPr>
          <w:rFonts w:ascii="Arial" w:hAnsi="Arial" w:cs="Arial"/>
          <w:b/>
        </w:rPr>
      </w:pPr>
      <w:r w:rsidRPr="00AA5647">
        <w:rPr>
          <w:rFonts w:ascii="Arial" w:hAnsi="Arial" w:cs="Arial"/>
          <w:b/>
        </w:rPr>
        <w:t>Definition</w:t>
      </w:r>
    </w:p>
    <w:p w:rsidR="0067430F" w:rsidRPr="00AA5647" w:rsidRDefault="009E5A3A">
      <w:pPr>
        <w:rPr>
          <w:rFonts w:ascii="Arial" w:hAnsi="Arial" w:cs="Arial"/>
        </w:rPr>
      </w:pPr>
      <w:r w:rsidRPr="00AA5647">
        <w:rPr>
          <w:rFonts w:ascii="Arial" w:hAnsi="Arial" w:cs="Arial"/>
        </w:rPr>
        <w:t xml:space="preserve">Polychlorierte </w:t>
      </w:r>
      <w:proofErr w:type="spellStart"/>
      <w:r w:rsidRPr="00AA5647">
        <w:rPr>
          <w:rFonts w:ascii="Arial" w:hAnsi="Arial" w:cs="Arial"/>
        </w:rPr>
        <w:t>Dibenzo</w:t>
      </w:r>
      <w:proofErr w:type="spellEnd"/>
      <w:r w:rsidRPr="00AA5647">
        <w:rPr>
          <w:rFonts w:ascii="Arial" w:hAnsi="Arial" w:cs="Arial"/>
        </w:rPr>
        <w:t xml:space="preserve">-p-dioxine (PCDD) und </w:t>
      </w:r>
      <w:proofErr w:type="spellStart"/>
      <w:r w:rsidRPr="00AA5647">
        <w:rPr>
          <w:rFonts w:ascii="Arial" w:hAnsi="Arial" w:cs="Arial"/>
        </w:rPr>
        <w:t>Dibenzofurane</w:t>
      </w:r>
      <w:proofErr w:type="spellEnd"/>
      <w:r w:rsidRPr="00AA5647">
        <w:rPr>
          <w:rFonts w:ascii="Arial" w:hAnsi="Arial" w:cs="Arial"/>
        </w:rPr>
        <w:t xml:space="preserve"> (PCDF), häufig vereinfachend Dioxine, auch Furane genannt, werden als unerwünschte und manchmal unvermeidbare Verunreinigungen im Spurenbereich bei einer Vielzahl industrieller und thermischer Prozesse gebildet und im Gegensatz zu anderen </w:t>
      </w:r>
      <w:proofErr w:type="spellStart"/>
      <w:r w:rsidRPr="00AA5647">
        <w:rPr>
          <w:rFonts w:ascii="Arial" w:hAnsi="Arial" w:cs="Arial"/>
        </w:rPr>
        <w:t>Chlororganika</w:t>
      </w:r>
      <w:proofErr w:type="spellEnd"/>
      <w:r w:rsidRPr="00AA5647">
        <w:rPr>
          <w:rFonts w:ascii="Arial" w:hAnsi="Arial" w:cs="Arial"/>
        </w:rPr>
        <w:t xml:space="preserve"> wie beispiel</w:t>
      </w:r>
      <w:r w:rsidRPr="00AA5647">
        <w:rPr>
          <w:rFonts w:ascii="Arial" w:hAnsi="Arial" w:cs="Arial"/>
        </w:rPr>
        <w:t>s</w:t>
      </w:r>
      <w:r w:rsidRPr="00AA5647">
        <w:rPr>
          <w:rFonts w:ascii="Arial" w:hAnsi="Arial" w:cs="Arial"/>
        </w:rPr>
        <w:t>weise PCB, DDT oder PCP nie in technischem Maßstab hergestellt. Wichtige Primärquellen des PCDD/F-Eintrages in die Luft sind die Metallerzeugung und -verarbeitung (Anteil ca. 80 %), die Abfallverbrennung, die Industrie- und Gewerbefeuerungen und die Hausbrandfeuerstätten. Über die Immission werden die PCDD/F ubiquitär in der U</w:t>
      </w:r>
      <w:r w:rsidRPr="00AA5647">
        <w:rPr>
          <w:rFonts w:ascii="Arial" w:hAnsi="Arial" w:cs="Arial"/>
        </w:rPr>
        <w:t>m</w:t>
      </w:r>
      <w:r w:rsidRPr="00AA5647">
        <w:rPr>
          <w:rFonts w:ascii="Arial" w:hAnsi="Arial" w:cs="Arial"/>
        </w:rPr>
        <w:t xml:space="preserve">welt verbreitet. </w:t>
      </w:r>
      <w:r w:rsidR="00E4215E" w:rsidRPr="00AA5647">
        <w:rPr>
          <w:rFonts w:ascii="Arial" w:hAnsi="Arial" w:cs="Arial"/>
          <w:color w:val="191919"/>
          <w:shd w:val="clear" w:color="auto" w:fill="FEFEFE"/>
        </w:rPr>
        <w:t xml:space="preserve">Viele Dioxine sind auch bei natürlichen Prozessen in der Erdgeschichte entstanden und haben sich häufig in Ton und Erde angereichert. </w:t>
      </w:r>
      <w:r w:rsidRPr="00AA5647">
        <w:rPr>
          <w:rFonts w:ascii="Arial" w:hAnsi="Arial" w:cs="Arial"/>
        </w:rPr>
        <w:t>Umweltpolitische Maßnahmen (z. B. Bundes-Immissionsschutzverordnung, Verbot chlor- bzw. bromhaltiger Zusatzstoffe zum Benzin, Herstellungsverbote für PCP und PCB) bewirkten e</w:t>
      </w:r>
      <w:r w:rsidRPr="00AA5647">
        <w:rPr>
          <w:rFonts w:ascii="Arial" w:hAnsi="Arial" w:cs="Arial"/>
        </w:rPr>
        <w:t>i</w:t>
      </w:r>
      <w:r w:rsidRPr="00AA5647">
        <w:rPr>
          <w:rFonts w:ascii="Arial" w:hAnsi="Arial" w:cs="Arial"/>
        </w:rPr>
        <w:t xml:space="preserve">nen deutlichen Rückgang der PCDD/PCDF-Einträge in die Umwelt. </w:t>
      </w:r>
      <w:r w:rsidR="004D0563" w:rsidRPr="00AA5647">
        <w:rPr>
          <w:rFonts w:ascii="Arial" w:hAnsi="Arial" w:cs="Arial"/>
        </w:rPr>
        <w:t>Die Dioxinbelastung der Bevölkerung hat in den letzten Jahren um ca. 60 % abgenommen. Laut Bundesumweltministerium sank der Gehalt an Dioxinen in der Muttermilch seit den 80er Jahren um mehr als 50 %.</w:t>
      </w:r>
    </w:p>
    <w:p w:rsidR="00FF4FE3" w:rsidRPr="00AA5647" w:rsidRDefault="009E5A3A">
      <w:pPr>
        <w:rPr>
          <w:rFonts w:ascii="Arial" w:hAnsi="Arial" w:cs="Arial"/>
        </w:rPr>
      </w:pPr>
      <w:r w:rsidRPr="00AA5647">
        <w:rPr>
          <w:rFonts w:ascii="Arial" w:hAnsi="Arial" w:cs="Arial"/>
        </w:rPr>
        <w:t>Die interne Belastung (Schadstoffkonzentration im menschlichen Körper) ergibt wichtige Hinweise auf mögliche Gesundheitsgefahren. Dioxine und verwandte Umweltschadstoffe können bei entsprechender Dosis bzw. Belastung zu Störungen des</w:t>
      </w:r>
      <w:r w:rsidR="004A7CF0" w:rsidRPr="00AA5647">
        <w:rPr>
          <w:rFonts w:ascii="Arial" w:hAnsi="Arial" w:cs="Arial"/>
        </w:rPr>
        <w:t xml:space="preserve"> Immunsystems, des </w:t>
      </w:r>
      <w:proofErr w:type="spellStart"/>
      <w:r w:rsidR="004A7CF0" w:rsidRPr="00AA5647">
        <w:rPr>
          <w:rFonts w:ascii="Arial" w:hAnsi="Arial" w:cs="Arial"/>
        </w:rPr>
        <w:t>Endokrinums</w:t>
      </w:r>
      <w:proofErr w:type="spellEnd"/>
      <w:r w:rsidR="004A7CF0" w:rsidRPr="00AA5647">
        <w:rPr>
          <w:rFonts w:ascii="Arial" w:hAnsi="Arial" w:cs="Arial"/>
        </w:rPr>
        <w:t xml:space="preserve">, </w:t>
      </w:r>
      <w:r w:rsidRPr="00AA5647">
        <w:rPr>
          <w:rFonts w:ascii="Arial" w:hAnsi="Arial" w:cs="Arial"/>
        </w:rPr>
        <w:t>der Fortpflanzung sowie zu Tumoren führen. Ihre routinemäß</w:t>
      </w:r>
      <w:r w:rsidRPr="00AA5647">
        <w:rPr>
          <w:rFonts w:ascii="Arial" w:hAnsi="Arial" w:cs="Arial"/>
        </w:rPr>
        <w:t>i</w:t>
      </w:r>
      <w:r w:rsidRPr="00AA5647">
        <w:rPr>
          <w:rFonts w:ascii="Arial" w:hAnsi="Arial" w:cs="Arial"/>
        </w:rPr>
        <w:t>ge Erfassung erlaubt die Beurteilung von Trends und kann Handlungsbedarfe aufdecken, bevor in größerem Maße gesundheitliche Wirkungen aufgetreten sein müssen.</w:t>
      </w:r>
    </w:p>
    <w:p w:rsidR="009E5A3A" w:rsidRPr="00AA5647" w:rsidRDefault="009E5A3A">
      <w:pPr>
        <w:rPr>
          <w:rFonts w:ascii="Arial" w:hAnsi="Arial" w:cs="Arial"/>
        </w:rPr>
      </w:pPr>
      <w:r w:rsidRPr="00AA5647">
        <w:rPr>
          <w:rFonts w:ascii="Arial" w:hAnsi="Arial" w:cs="Arial"/>
        </w:rPr>
        <w:t>Die Verfolgung der Belastung von Frauenmilch mit persiste</w:t>
      </w:r>
      <w:r w:rsidRPr="00AA5647">
        <w:rPr>
          <w:rFonts w:ascii="Arial" w:hAnsi="Arial" w:cs="Arial"/>
        </w:rPr>
        <w:t>n</w:t>
      </w:r>
      <w:r w:rsidRPr="00AA5647">
        <w:rPr>
          <w:rFonts w:ascii="Arial" w:hAnsi="Arial" w:cs="Arial"/>
        </w:rPr>
        <w:t>ten Rückständen ist unter dem Aspekt der gesundheitlichen Vorsorge von besonderer Bedeutung. Frauenmilch ist die erste Nahrung für den neugeborenen Säugling. Darüber hinaus ist sie ein gut zugänglicher und geeigneter Bioi</w:t>
      </w:r>
      <w:r w:rsidRPr="00AA5647">
        <w:rPr>
          <w:rFonts w:ascii="Arial" w:hAnsi="Arial" w:cs="Arial"/>
        </w:rPr>
        <w:t>n</w:t>
      </w:r>
      <w:r w:rsidRPr="00AA5647">
        <w:rPr>
          <w:rFonts w:ascii="Arial" w:hAnsi="Arial" w:cs="Arial"/>
        </w:rPr>
        <w:t>dikator für die Belastung des Menschen mit fettlöslichen und persistenten Sto</w:t>
      </w:r>
      <w:r w:rsidRPr="00AA5647">
        <w:rPr>
          <w:rFonts w:ascii="Arial" w:hAnsi="Arial" w:cs="Arial"/>
        </w:rPr>
        <w:t>f</w:t>
      </w:r>
      <w:r w:rsidRPr="00AA5647">
        <w:rPr>
          <w:rFonts w:ascii="Arial" w:hAnsi="Arial" w:cs="Arial"/>
        </w:rPr>
        <w:t>fen.</w:t>
      </w:r>
    </w:p>
    <w:p w:rsidR="00B739A2" w:rsidRPr="00AA5647" w:rsidRDefault="00BE7F1D">
      <w:pPr>
        <w:rPr>
          <w:rFonts w:ascii="Arial" w:hAnsi="Arial" w:cs="Arial"/>
        </w:rPr>
      </w:pPr>
      <w:r w:rsidRPr="00AA5647">
        <w:rPr>
          <w:rFonts w:ascii="Arial" w:hAnsi="Arial" w:cs="Arial"/>
        </w:rPr>
        <w:t xml:space="preserve">Das Auftreten und die Konzentration von Dioxinen in Lebens- und Futtermitteln wird in Deutschland streng überwacht und </w:t>
      </w:r>
      <w:r w:rsidR="00AD4D37" w:rsidRPr="00AA5647">
        <w:rPr>
          <w:rFonts w:ascii="Arial" w:hAnsi="Arial" w:cs="Arial"/>
        </w:rPr>
        <w:t xml:space="preserve">seit vielen Jahren in Monitoring- und Messprogrammen </w:t>
      </w:r>
      <w:r w:rsidRPr="00AA5647">
        <w:rPr>
          <w:rFonts w:ascii="Arial" w:hAnsi="Arial" w:cs="Arial"/>
        </w:rPr>
        <w:t xml:space="preserve">untersucht. Mit Wirkung zum 1. Mai 2012 wurde das Lebensmittel-, Bedarfsgegenstände- und Futtermittelgesetzbuch (LFGB) um eine Meldepflicht für Untersuchungsergebnisse aus Eigenkontrollen </w:t>
      </w:r>
      <w:r w:rsidR="00B739A2" w:rsidRPr="00AA5647">
        <w:rPr>
          <w:rFonts w:ascii="Arial" w:hAnsi="Arial" w:cs="Arial"/>
        </w:rPr>
        <w:t xml:space="preserve">u. a. </w:t>
      </w:r>
      <w:r w:rsidRPr="00AA5647">
        <w:rPr>
          <w:rFonts w:ascii="Arial" w:hAnsi="Arial" w:cs="Arial"/>
        </w:rPr>
        <w:t>zu Dioxinen und PCB der Lebensmittel- und Futtermittelunternehmer ergänzt</w:t>
      </w:r>
      <w:r w:rsidR="00B739A2" w:rsidRPr="00AA5647">
        <w:rPr>
          <w:rFonts w:ascii="Arial" w:hAnsi="Arial" w:cs="Arial"/>
        </w:rPr>
        <w:t xml:space="preserve"> (Verordnung zu Mitteilungs- und Übermittlungspflichten zu gesundheitlich nicht erwünschten Stoffen - </w:t>
      </w:r>
      <w:proofErr w:type="spellStart"/>
      <w:r w:rsidR="00B739A2" w:rsidRPr="00AA5647">
        <w:rPr>
          <w:rFonts w:ascii="Arial" w:hAnsi="Arial" w:cs="Arial"/>
        </w:rPr>
        <w:t>MitÜbermitV</w:t>
      </w:r>
      <w:proofErr w:type="spellEnd"/>
      <w:r w:rsidR="00B739A2" w:rsidRPr="00AA5647">
        <w:rPr>
          <w:rFonts w:ascii="Arial" w:hAnsi="Arial" w:cs="Arial"/>
        </w:rPr>
        <w:t>)</w:t>
      </w:r>
      <w:r w:rsidRPr="00AA5647">
        <w:rPr>
          <w:rFonts w:ascii="Arial" w:hAnsi="Arial" w:cs="Arial"/>
        </w:rPr>
        <w:t>.</w:t>
      </w:r>
    </w:p>
    <w:p w:rsidR="00854955" w:rsidRPr="00AA5647" w:rsidRDefault="00854955" w:rsidP="00854955">
      <w:pPr>
        <w:rPr>
          <w:rFonts w:ascii="Arial" w:hAnsi="Arial" w:cs="Arial"/>
        </w:rPr>
      </w:pPr>
      <w:r w:rsidRPr="00AA5647">
        <w:rPr>
          <w:rFonts w:ascii="Arial" w:hAnsi="Arial" w:cs="Arial"/>
        </w:rPr>
        <w:t xml:space="preserve">In Zusammenarbeit mit den Ländern wurde beim Umweltbundesamt (UBA) die </w:t>
      </w:r>
      <w:r w:rsidRPr="00AA5647">
        <w:rPr>
          <w:rFonts w:ascii="Arial" w:hAnsi="Arial" w:cs="Arial"/>
          <w:i/>
        </w:rPr>
        <w:t>POP-Dioxin-Datenbank des Bundes und der Länder</w:t>
      </w:r>
      <w:r w:rsidRPr="00AA5647">
        <w:rPr>
          <w:rFonts w:ascii="Arial" w:hAnsi="Arial" w:cs="Arial"/>
        </w:rPr>
        <w:t xml:space="preserve"> aufgebaut, in der die Untersuchungsergebnisse und beschreibenden Informationen der Bundes- und Länderbehörden, Forschungseinrichtungen sowie Institutionen zur Dioxinbelastung und zu Belastungen der Umwelt durch andere persistente organische Schadstoffe (POPs) zusammenfassend dokumentiert und ausgewertet werden. Das zur Zeit analysierte und in der Datenbank erfasste Substanzspektrum umfasst die </w:t>
      </w:r>
      <w:r w:rsidRPr="00AA5647">
        <w:rPr>
          <w:rFonts w:ascii="Arial" w:hAnsi="Arial" w:cs="Arial"/>
          <w:color w:val="404040"/>
        </w:rPr>
        <w:t xml:space="preserve">folgenden Stoffgruppen: Chlorbenzole, Nitromoschusverbindungen, </w:t>
      </w:r>
      <w:proofErr w:type="spellStart"/>
      <w:r w:rsidRPr="00AA5647">
        <w:rPr>
          <w:rFonts w:ascii="Arial" w:hAnsi="Arial" w:cs="Arial"/>
          <w:color w:val="404040"/>
        </w:rPr>
        <w:t>Organochlorpestizide</w:t>
      </w:r>
      <w:proofErr w:type="spellEnd"/>
      <w:r w:rsidRPr="00AA5647">
        <w:rPr>
          <w:rFonts w:ascii="Arial" w:hAnsi="Arial" w:cs="Arial"/>
          <w:color w:val="404040"/>
        </w:rPr>
        <w:t xml:space="preserve">, </w:t>
      </w:r>
      <w:proofErr w:type="spellStart"/>
      <w:r w:rsidRPr="00AA5647">
        <w:rPr>
          <w:rFonts w:ascii="Arial" w:hAnsi="Arial" w:cs="Arial"/>
          <w:color w:val="404040"/>
        </w:rPr>
        <w:t>Polybromierte</w:t>
      </w:r>
      <w:proofErr w:type="spellEnd"/>
      <w:r w:rsidRPr="00AA5647">
        <w:rPr>
          <w:rFonts w:ascii="Arial" w:hAnsi="Arial" w:cs="Arial"/>
          <w:color w:val="404040"/>
        </w:rPr>
        <w:t xml:space="preserve"> </w:t>
      </w:r>
      <w:proofErr w:type="spellStart"/>
      <w:r w:rsidRPr="00AA5647">
        <w:rPr>
          <w:rFonts w:ascii="Arial" w:hAnsi="Arial" w:cs="Arial"/>
          <w:color w:val="404040"/>
        </w:rPr>
        <w:t>Dibenzodioxine</w:t>
      </w:r>
      <w:proofErr w:type="spellEnd"/>
      <w:r w:rsidRPr="00AA5647">
        <w:rPr>
          <w:rFonts w:ascii="Arial" w:hAnsi="Arial" w:cs="Arial"/>
          <w:color w:val="404040"/>
        </w:rPr>
        <w:t xml:space="preserve"> und -furane (PBDD/PBDF), </w:t>
      </w:r>
      <w:proofErr w:type="spellStart"/>
      <w:r w:rsidRPr="00AA5647">
        <w:rPr>
          <w:rFonts w:ascii="Arial" w:hAnsi="Arial" w:cs="Arial"/>
          <w:color w:val="404040"/>
        </w:rPr>
        <w:t>Polybromierte</w:t>
      </w:r>
      <w:proofErr w:type="spellEnd"/>
      <w:r w:rsidRPr="00AA5647">
        <w:rPr>
          <w:rFonts w:ascii="Arial" w:hAnsi="Arial" w:cs="Arial"/>
          <w:color w:val="404040"/>
        </w:rPr>
        <w:t xml:space="preserve"> </w:t>
      </w:r>
      <w:proofErr w:type="spellStart"/>
      <w:r w:rsidRPr="00AA5647">
        <w:rPr>
          <w:rFonts w:ascii="Arial" w:hAnsi="Arial" w:cs="Arial"/>
          <w:color w:val="404040"/>
        </w:rPr>
        <w:t>Diphenylether</w:t>
      </w:r>
      <w:proofErr w:type="spellEnd"/>
      <w:r w:rsidRPr="00AA5647">
        <w:rPr>
          <w:rFonts w:ascii="Arial" w:hAnsi="Arial" w:cs="Arial"/>
          <w:color w:val="404040"/>
        </w:rPr>
        <w:t xml:space="preserve"> (</w:t>
      </w:r>
      <w:r w:rsidRPr="00AA5647">
        <w:rPr>
          <w:rFonts w:ascii="Tahoma" w:hAnsi="Tahoma" w:cs="Tahoma"/>
          <w:color w:val="404040"/>
        </w:rPr>
        <w:t>⁠</w:t>
      </w:r>
      <w:hyperlink r:id="rId5" w:anchor="alphabar" w:tgtFrame="_blank" w:history="1">
        <w:r w:rsidRPr="00AA5647">
          <w:rPr>
            <w:rStyle w:val="Hyperlink"/>
            <w:rFonts w:ascii="Arial" w:hAnsi="Arial" w:cs="Arial"/>
            <w:color w:val="404040"/>
            <w:u w:val="none"/>
          </w:rPr>
          <w:t>PBDE</w:t>
        </w:r>
      </w:hyperlink>
      <w:r w:rsidRPr="00AA5647">
        <w:rPr>
          <w:rFonts w:ascii="Tahoma" w:hAnsi="Tahoma" w:cs="Tahoma"/>
          <w:color w:val="404040"/>
        </w:rPr>
        <w:t>⁠</w:t>
      </w:r>
      <w:r w:rsidRPr="00AA5647">
        <w:rPr>
          <w:rFonts w:ascii="Arial" w:hAnsi="Arial" w:cs="Arial"/>
          <w:color w:val="404040"/>
        </w:rPr>
        <w:t xml:space="preserve">), Polychlorierte </w:t>
      </w:r>
      <w:proofErr w:type="spellStart"/>
      <w:r w:rsidRPr="00AA5647">
        <w:rPr>
          <w:rFonts w:ascii="Arial" w:hAnsi="Arial" w:cs="Arial"/>
          <w:color w:val="404040"/>
        </w:rPr>
        <w:t>Dibenzodioxine</w:t>
      </w:r>
      <w:proofErr w:type="spellEnd"/>
      <w:r w:rsidRPr="00AA5647">
        <w:rPr>
          <w:rFonts w:ascii="Arial" w:hAnsi="Arial" w:cs="Arial"/>
          <w:color w:val="404040"/>
        </w:rPr>
        <w:t xml:space="preserve"> und -furane (</w:t>
      </w:r>
      <w:r w:rsidRPr="00AA5647">
        <w:rPr>
          <w:rFonts w:ascii="Tahoma" w:hAnsi="Tahoma" w:cs="Tahoma"/>
          <w:color w:val="404040"/>
        </w:rPr>
        <w:t>⁠</w:t>
      </w:r>
      <w:hyperlink r:id="rId6" w:anchor="alphabar" w:tgtFrame="_blank" w:history="1">
        <w:r w:rsidRPr="00AA5647">
          <w:rPr>
            <w:rStyle w:val="Hyperlink"/>
            <w:rFonts w:ascii="Arial" w:hAnsi="Arial" w:cs="Arial"/>
            <w:color w:val="404040"/>
            <w:u w:val="none"/>
          </w:rPr>
          <w:t>PCDD/PCDF</w:t>
        </w:r>
      </w:hyperlink>
      <w:r w:rsidRPr="00AA5647">
        <w:rPr>
          <w:rFonts w:ascii="Tahoma" w:hAnsi="Tahoma" w:cs="Tahoma"/>
          <w:color w:val="404040"/>
        </w:rPr>
        <w:t>⁠</w:t>
      </w:r>
      <w:r w:rsidRPr="00AA5647">
        <w:rPr>
          <w:rFonts w:ascii="Arial" w:hAnsi="Arial" w:cs="Arial"/>
          <w:color w:val="404040"/>
        </w:rPr>
        <w:t xml:space="preserve">), Polychlorierte </w:t>
      </w:r>
      <w:proofErr w:type="spellStart"/>
      <w:r w:rsidRPr="00AA5647">
        <w:rPr>
          <w:rFonts w:ascii="Arial" w:hAnsi="Arial" w:cs="Arial"/>
          <w:color w:val="404040"/>
        </w:rPr>
        <w:t>Biphenyle</w:t>
      </w:r>
      <w:proofErr w:type="spellEnd"/>
      <w:r w:rsidRPr="00AA5647">
        <w:rPr>
          <w:rFonts w:ascii="Arial" w:hAnsi="Arial" w:cs="Arial"/>
          <w:color w:val="404040"/>
        </w:rPr>
        <w:t xml:space="preserve"> (</w:t>
      </w:r>
      <w:r w:rsidRPr="00AA5647">
        <w:rPr>
          <w:rFonts w:ascii="Tahoma" w:hAnsi="Tahoma" w:cs="Tahoma"/>
          <w:color w:val="404040"/>
        </w:rPr>
        <w:t>⁠</w:t>
      </w:r>
      <w:hyperlink r:id="rId7" w:anchor="alphabar" w:tgtFrame="_blank" w:history="1">
        <w:r w:rsidRPr="00AA5647">
          <w:rPr>
            <w:rStyle w:val="Hyperlink"/>
            <w:rFonts w:ascii="Arial" w:hAnsi="Arial" w:cs="Arial"/>
            <w:color w:val="404040"/>
            <w:u w:val="none"/>
          </w:rPr>
          <w:t>PCB</w:t>
        </w:r>
      </w:hyperlink>
      <w:r w:rsidRPr="00AA5647">
        <w:rPr>
          <w:rFonts w:ascii="Tahoma" w:hAnsi="Tahoma" w:cs="Tahoma"/>
          <w:color w:val="404040"/>
        </w:rPr>
        <w:t>⁠</w:t>
      </w:r>
      <w:r w:rsidRPr="00AA5647">
        <w:rPr>
          <w:rFonts w:ascii="Arial" w:hAnsi="Arial" w:cs="Arial"/>
          <w:color w:val="404040"/>
        </w:rPr>
        <w:t>), Polycyclische Moschusverbindungen</w:t>
      </w:r>
      <w:r w:rsidRPr="00AA5647">
        <w:rPr>
          <w:rFonts w:ascii="Arial" w:hAnsi="Arial" w:cs="Arial"/>
        </w:rPr>
        <w:t>. Das Datenmanagement der Datenbank wird vom UBA und vom Bundesamt für Verbraucherschutz und Lebensmittelsicherheit (BVL) arbeitsteilig wahrgenommen.</w:t>
      </w:r>
    </w:p>
    <w:p w:rsidR="009E5A3A" w:rsidRPr="00AA5647" w:rsidRDefault="009E5A3A">
      <w:pPr>
        <w:rPr>
          <w:rFonts w:ascii="Arial" w:hAnsi="Arial" w:cs="Arial"/>
          <w:b/>
        </w:rPr>
      </w:pPr>
    </w:p>
    <w:p w:rsidR="009E5A3A" w:rsidRPr="00AA5647" w:rsidRDefault="009E5A3A">
      <w:pPr>
        <w:rPr>
          <w:rFonts w:ascii="Arial" w:hAnsi="Arial" w:cs="Arial"/>
          <w:b/>
        </w:rPr>
      </w:pPr>
      <w:r w:rsidRPr="00AA5647">
        <w:rPr>
          <w:rFonts w:ascii="Arial" w:hAnsi="Arial" w:cs="Arial"/>
          <w:b/>
        </w:rPr>
        <w:t>Datenhalter</w:t>
      </w:r>
    </w:p>
    <w:p w:rsidR="00F07F57" w:rsidRPr="00AA5647" w:rsidRDefault="00F07F57" w:rsidP="00E0549F">
      <w:pPr>
        <w:numPr>
          <w:ilvl w:val="0"/>
          <w:numId w:val="4"/>
        </w:numPr>
        <w:tabs>
          <w:tab w:val="left" w:pos="227"/>
        </w:tabs>
        <w:ind w:left="227" w:hanging="227"/>
        <w:rPr>
          <w:rFonts w:ascii="Arial" w:hAnsi="Arial" w:cs="Arial"/>
        </w:rPr>
      </w:pPr>
      <w:r w:rsidRPr="00AA5647">
        <w:rPr>
          <w:rFonts w:ascii="Arial" w:hAnsi="Arial" w:cs="Arial"/>
        </w:rPr>
        <w:t>Umweltbundesamt (UBA)</w:t>
      </w:r>
    </w:p>
    <w:p w:rsidR="009E5A3A" w:rsidRPr="00AA5647" w:rsidRDefault="009E5A3A" w:rsidP="00E0549F">
      <w:pPr>
        <w:numPr>
          <w:ilvl w:val="0"/>
          <w:numId w:val="4"/>
        </w:numPr>
        <w:tabs>
          <w:tab w:val="left" w:pos="227"/>
        </w:tabs>
        <w:ind w:left="227" w:hanging="227"/>
        <w:rPr>
          <w:rFonts w:ascii="Arial" w:hAnsi="Arial" w:cs="Arial"/>
        </w:rPr>
      </w:pPr>
      <w:r w:rsidRPr="00AA5647">
        <w:rPr>
          <w:rFonts w:ascii="Arial" w:hAnsi="Arial" w:cs="Arial"/>
        </w:rPr>
        <w:t>Bundesamt für Verbraucherschutz und Lebensmittelsicherheit</w:t>
      </w:r>
      <w:r w:rsidR="004A7CF0" w:rsidRPr="00AA5647">
        <w:rPr>
          <w:rFonts w:ascii="Arial" w:hAnsi="Arial" w:cs="Arial"/>
        </w:rPr>
        <w:t xml:space="preserve"> (BVL)</w:t>
      </w:r>
    </w:p>
    <w:p w:rsidR="009E5A3A" w:rsidRPr="00AA5647" w:rsidRDefault="009E5A3A">
      <w:pPr>
        <w:rPr>
          <w:rFonts w:ascii="Arial" w:hAnsi="Arial" w:cs="Arial"/>
        </w:rPr>
      </w:pPr>
    </w:p>
    <w:p w:rsidR="009E5A3A" w:rsidRPr="00AA5647" w:rsidRDefault="009E5A3A" w:rsidP="00E0549F">
      <w:pPr>
        <w:rPr>
          <w:rFonts w:ascii="Arial" w:hAnsi="Arial" w:cs="Arial"/>
          <w:b/>
        </w:rPr>
      </w:pPr>
      <w:r w:rsidRPr="00AA5647">
        <w:rPr>
          <w:rFonts w:ascii="Arial" w:hAnsi="Arial" w:cs="Arial"/>
          <w:b/>
        </w:rPr>
        <w:t>Datenquelle</w:t>
      </w:r>
    </w:p>
    <w:p w:rsidR="00854955" w:rsidRPr="00AA5647" w:rsidRDefault="00854955" w:rsidP="00854955">
      <w:pPr>
        <w:numPr>
          <w:ilvl w:val="0"/>
          <w:numId w:val="6"/>
        </w:numPr>
        <w:tabs>
          <w:tab w:val="clear" w:pos="360"/>
          <w:tab w:val="num" w:pos="227"/>
        </w:tabs>
        <w:ind w:left="227" w:hanging="227"/>
        <w:rPr>
          <w:rFonts w:ascii="Arial" w:hAnsi="Arial" w:cs="Arial"/>
        </w:rPr>
      </w:pPr>
      <w:r w:rsidRPr="00AA5647">
        <w:rPr>
          <w:rFonts w:ascii="Arial" w:hAnsi="Arial" w:cs="Arial"/>
        </w:rPr>
        <w:t>POP-Dioxin-Datenbank des Bundes und der Länder</w:t>
      </w:r>
    </w:p>
    <w:p w:rsidR="00854955" w:rsidRPr="00AA5647" w:rsidRDefault="00854955" w:rsidP="00854955">
      <w:pPr>
        <w:numPr>
          <w:ilvl w:val="0"/>
          <w:numId w:val="6"/>
        </w:numPr>
        <w:tabs>
          <w:tab w:val="clear" w:pos="360"/>
          <w:tab w:val="num" w:pos="227"/>
        </w:tabs>
        <w:ind w:left="227" w:hanging="227"/>
        <w:rPr>
          <w:rFonts w:ascii="Arial" w:hAnsi="Arial" w:cs="Arial"/>
        </w:rPr>
      </w:pPr>
      <w:r w:rsidRPr="00AA5647">
        <w:rPr>
          <w:rFonts w:ascii="Arial" w:hAnsi="Arial" w:cs="Arial"/>
        </w:rPr>
        <w:t>Datenbank des BVL</w:t>
      </w:r>
    </w:p>
    <w:p w:rsidR="009E5A3A" w:rsidRPr="00AA5647" w:rsidRDefault="009E5A3A">
      <w:pPr>
        <w:rPr>
          <w:rFonts w:ascii="Arial" w:hAnsi="Arial" w:cs="Arial"/>
        </w:rPr>
      </w:pPr>
    </w:p>
    <w:p w:rsidR="009E5A3A" w:rsidRPr="00AA5647" w:rsidRDefault="009E5A3A" w:rsidP="00E0549F">
      <w:pPr>
        <w:rPr>
          <w:rFonts w:ascii="Arial" w:hAnsi="Arial" w:cs="Arial"/>
          <w:b/>
        </w:rPr>
      </w:pPr>
      <w:r w:rsidRPr="00AA5647">
        <w:rPr>
          <w:rFonts w:ascii="Arial" w:hAnsi="Arial" w:cs="Arial"/>
          <w:b/>
        </w:rPr>
        <w:t>Periodizität</w:t>
      </w:r>
    </w:p>
    <w:p w:rsidR="009E5A3A" w:rsidRPr="00AA5647" w:rsidRDefault="009E5A3A">
      <w:pPr>
        <w:rPr>
          <w:rFonts w:ascii="Arial" w:hAnsi="Arial" w:cs="Arial"/>
        </w:rPr>
      </w:pPr>
      <w:r w:rsidRPr="00AA5647">
        <w:rPr>
          <w:rFonts w:ascii="Arial" w:hAnsi="Arial" w:cs="Arial"/>
        </w:rPr>
        <w:t>Jährlich</w:t>
      </w:r>
    </w:p>
    <w:p w:rsidR="009E5A3A" w:rsidRPr="00AA5647" w:rsidRDefault="009E5A3A">
      <w:pPr>
        <w:rPr>
          <w:rFonts w:ascii="Arial" w:hAnsi="Arial" w:cs="Arial"/>
        </w:rPr>
      </w:pPr>
    </w:p>
    <w:p w:rsidR="009E5A3A" w:rsidRPr="00AA5647" w:rsidRDefault="009E5A3A">
      <w:pPr>
        <w:rPr>
          <w:rFonts w:ascii="Arial" w:hAnsi="Arial" w:cs="Arial"/>
        </w:rPr>
      </w:pPr>
      <w:r w:rsidRPr="00AA5647">
        <w:rPr>
          <w:rFonts w:ascii="Arial" w:hAnsi="Arial" w:cs="Arial"/>
          <w:b/>
        </w:rPr>
        <w:t>Validität</w:t>
      </w:r>
    </w:p>
    <w:p w:rsidR="009E5A3A" w:rsidRPr="00AA5647" w:rsidRDefault="009E5A3A">
      <w:pPr>
        <w:rPr>
          <w:rFonts w:ascii="Arial" w:hAnsi="Arial" w:cs="Arial"/>
        </w:rPr>
      </w:pPr>
      <w:r w:rsidRPr="00AA5647">
        <w:rPr>
          <w:rFonts w:ascii="Arial" w:hAnsi="Arial" w:cs="Arial"/>
        </w:rPr>
        <w:t xml:space="preserve">Daten zu Frauenmilch wurden in </w:t>
      </w:r>
      <w:r w:rsidR="00F07F57" w:rsidRPr="00AA5647">
        <w:rPr>
          <w:rFonts w:ascii="Arial" w:hAnsi="Arial" w:cs="Arial"/>
        </w:rPr>
        <w:t>einigen</w:t>
      </w:r>
      <w:r w:rsidRPr="00AA5647">
        <w:rPr>
          <w:rFonts w:ascii="Arial" w:hAnsi="Arial" w:cs="Arial"/>
        </w:rPr>
        <w:t xml:space="preserve"> Jahren nicht erhoben und fehlen dementsprechend. Die in die Auswe</w:t>
      </w:r>
      <w:r w:rsidRPr="00AA5647">
        <w:rPr>
          <w:rFonts w:ascii="Arial" w:hAnsi="Arial" w:cs="Arial"/>
        </w:rPr>
        <w:t>r</w:t>
      </w:r>
      <w:r w:rsidRPr="00AA5647">
        <w:rPr>
          <w:rFonts w:ascii="Arial" w:hAnsi="Arial" w:cs="Arial"/>
        </w:rPr>
        <w:t>tung des Jahres 2002 einbezogenen Daten für Kuhmilch stammen alle aus Baden-Württemberg und sind demnach nicht repräsent</w:t>
      </w:r>
      <w:r w:rsidRPr="00AA5647">
        <w:rPr>
          <w:rFonts w:ascii="Arial" w:hAnsi="Arial" w:cs="Arial"/>
        </w:rPr>
        <w:t>a</w:t>
      </w:r>
      <w:r w:rsidRPr="00AA5647">
        <w:rPr>
          <w:rFonts w:ascii="Arial" w:hAnsi="Arial" w:cs="Arial"/>
        </w:rPr>
        <w:t xml:space="preserve">tiv für Deutschland. </w:t>
      </w:r>
    </w:p>
    <w:p w:rsidR="009E5A3A" w:rsidRPr="00AA5647" w:rsidRDefault="009E5A3A">
      <w:pPr>
        <w:rPr>
          <w:rFonts w:ascii="Arial" w:hAnsi="Arial" w:cs="Arial"/>
        </w:rPr>
      </w:pPr>
    </w:p>
    <w:p w:rsidR="009E5A3A" w:rsidRPr="00AA5647" w:rsidRDefault="009E5A3A">
      <w:pPr>
        <w:rPr>
          <w:rFonts w:ascii="Arial" w:hAnsi="Arial" w:cs="Arial"/>
          <w:b/>
        </w:rPr>
      </w:pPr>
      <w:r w:rsidRPr="00AA5647">
        <w:rPr>
          <w:rFonts w:ascii="Arial" w:hAnsi="Arial" w:cs="Arial"/>
          <w:b/>
        </w:rPr>
        <w:t>Kommentar</w:t>
      </w:r>
    </w:p>
    <w:p w:rsidR="009E5A3A" w:rsidRPr="00AA5647" w:rsidRDefault="009E5A3A">
      <w:pPr>
        <w:rPr>
          <w:rFonts w:ascii="Arial" w:hAnsi="Arial" w:cs="Arial"/>
        </w:rPr>
      </w:pPr>
      <w:r w:rsidRPr="00AA5647">
        <w:rPr>
          <w:rFonts w:ascii="Arial" w:hAnsi="Arial" w:cs="Arial"/>
        </w:rPr>
        <w:t>Der Indikator wird als Bundesindikator – trotz oben dargestellter Einschränkungen der Validität – geführt. Der Ind</w:t>
      </w:r>
      <w:r w:rsidRPr="00AA5647">
        <w:rPr>
          <w:rFonts w:ascii="Arial" w:hAnsi="Arial" w:cs="Arial"/>
        </w:rPr>
        <w:t>i</w:t>
      </w:r>
      <w:r w:rsidRPr="00AA5647">
        <w:rPr>
          <w:rFonts w:ascii="Arial" w:hAnsi="Arial" w:cs="Arial"/>
        </w:rPr>
        <w:t>kator zählt zur Gruppe der Gesundheitsd</w:t>
      </w:r>
      <w:r w:rsidRPr="00AA5647">
        <w:rPr>
          <w:rFonts w:ascii="Arial" w:hAnsi="Arial" w:cs="Arial"/>
        </w:rPr>
        <w:t>e</w:t>
      </w:r>
      <w:r w:rsidRPr="00AA5647">
        <w:rPr>
          <w:rFonts w:ascii="Arial" w:hAnsi="Arial" w:cs="Arial"/>
        </w:rPr>
        <w:t>terminanten.</w:t>
      </w:r>
    </w:p>
    <w:p w:rsidR="009E5A3A" w:rsidRPr="00AA5647" w:rsidRDefault="009E5A3A">
      <w:pPr>
        <w:rPr>
          <w:rFonts w:ascii="Arial" w:hAnsi="Arial" w:cs="Arial"/>
        </w:rPr>
      </w:pPr>
      <w:bookmarkStart w:id="0" w:name="_GoBack"/>
      <w:bookmarkEnd w:id="0"/>
    </w:p>
    <w:p w:rsidR="009E5A3A" w:rsidRPr="00AA5647" w:rsidRDefault="009E5A3A" w:rsidP="00D06158">
      <w:pPr>
        <w:keepNext/>
        <w:rPr>
          <w:rFonts w:ascii="Arial" w:hAnsi="Arial" w:cs="Arial"/>
        </w:rPr>
      </w:pPr>
      <w:r w:rsidRPr="00AA5647">
        <w:rPr>
          <w:rFonts w:ascii="Arial" w:hAnsi="Arial" w:cs="Arial"/>
          <w:b/>
        </w:rPr>
        <w:t>Vergleichbarkeit</w:t>
      </w:r>
    </w:p>
    <w:p w:rsidR="009E5A3A" w:rsidRPr="00AA5647" w:rsidRDefault="009E5A3A" w:rsidP="00D06158">
      <w:pPr>
        <w:keepNext/>
        <w:rPr>
          <w:rFonts w:ascii="Arial" w:hAnsi="Arial" w:cs="Arial"/>
        </w:rPr>
      </w:pPr>
      <w:r w:rsidRPr="00AA5647">
        <w:rPr>
          <w:rFonts w:ascii="Arial" w:hAnsi="Arial" w:cs="Arial"/>
        </w:rPr>
        <w:t xml:space="preserve">Es gibt keine vergleichbaren WHO-, OECD- und EU-Indikatoren. Der Indikator ist mit dem </w:t>
      </w:r>
      <w:r w:rsidR="004A7CF0" w:rsidRPr="00AA5647">
        <w:rPr>
          <w:rFonts w:ascii="Arial" w:hAnsi="Arial" w:cs="Arial"/>
        </w:rPr>
        <w:t xml:space="preserve">NRW-Indikator 5.4 der zweiten Fassung des GMK-Indikatorensatzes von 1996 </w:t>
      </w:r>
      <w:r w:rsidRPr="00AA5647">
        <w:rPr>
          <w:rFonts w:ascii="Arial" w:hAnsi="Arial" w:cs="Arial"/>
        </w:rPr>
        <w:t xml:space="preserve">bedingt und mit </w:t>
      </w:r>
      <w:r w:rsidR="009F52C3" w:rsidRPr="00AA5647">
        <w:rPr>
          <w:rFonts w:ascii="Arial" w:hAnsi="Arial" w:cs="Arial"/>
        </w:rPr>
        <w:t xml:space="preserve">NRW-Indikator </w:t>
      </w:r>
      <w:r w:rsidRPr="00AA5647">
        <w:rPr>
          <w:rFonts w:ascii="Arial" w:hAnsi="Arial" w:cs="Arial"/>
        </w:rPr>
        <w:t>5.16 nicht vergleichbar.</w:t>
      </w:r>
    </w:p>
    <w:p w:rsidR="009E5A3A" w:rsidRPr="00AA5647" w:rsidRDefault="009E5A3A">
      <w:pPr>
        <w:rPr>
          <w:rFonts w:ascii="Arial" w:hAnsi="Arial" w:cs="Arial"/>
          <w:b/>
        </w:rPr>
      </w:pPr>
    </w:p>
    <w:p w:rsidR="009E5A3A" w:rsidRPr="00AA5647" w:rsidRDefault="009E5A3A" w:rsidP="00E0549F">
      <w:pPr>
        <w:keepNext/>
        <w:rPr>
          <w:rFonts w:ascii="Arial" w:hAnsi="Arial" w:cs="Arial"/>
          <w:b/>
        </w:rPr>
      </w:pPr>
      <w:r w:rsidRPr="00AA5647">
        <w:rPr>
          <w:rFonts w:ascii="Arial" w:hAnsi="Arial" w:cs="Arial"/>
          <w:b/>
        </w:rPr>
        <w:t>Originalquellen</w:t>
      </w:r>
    </w:p>
    <w:p w:rsidR="00854955" w:rsidRPr="00AA5647" w:rsidRDefault="00854955" w:rsidP="00E0549F">
      <w:pPr>
        <w:numPr>
          <w:ilvl w:val="0"/>
          <w:numId w:val="5"/>
        </w:numPr>
        <w:tabs>
          <w:tab w:val="left" w:pos="227"/>
        </w:tabs>
        <w:ind w:left="227" w:hanging="227"/>
        <w:rPr>
          <w:rFonts w:ascii="Arial" w:hAnsi="Arial" w:cs="Arial"/>
        </w:rPr>
      </w:pPr>
      <w:r w:rsidRPr="00AA5647">
        <w:rPr>
          <w:rFonts w:ascii="Arial" w:hAnsi="Arial" w:cs="Arial"/>
        </w:rPr>
        <w:t>Umweltbundesamt (UBA)</w:t>
      </w:r>
      <w:r w:rsidRPr="00AA5647">
        <w:rPr>
          <w:rFonts w:ascii="Arial" w:hAnsi="Arial" w:cs="Arial"/>
        </w:rPr>
        <w:br/>
        <w:t>Auswertungen aus der POP-Dioxin-Datenbank des Bundes und der Länder 2002 ff.</w:t>
      </w:r>
    </w:p>
    <w:p w:rsidR="00854955" w:rsidRPr="00AA5647" w:rsidRDefault="00854955" w:rsidP="00E0549F">
      <w:pPr>
        <w:numPr>
          <w:ilvl w:val="0"/>
          <w:numId w:val="5"/>
        </w:numPr>
        <w:tabs>
          <w:tab w:val="left" w:pos="227"/>
        </w:tabs>
        <w:ind w:left="227" w:hanging="227"/>
        <w:rPr>
          <w:rFonts w:ascii="Arial" w:hAnsi="Arial" w:cs="Arial"/>
        </w:rPr>
      </w:pPr>
      <w:r w:rsidRPr="00AA5647">
        <w:rPr>
          <w:rFonts w:ascii="Arial" w:hAnsi="Arial" w:cs="Arial"/>
        </w:rPr>
        <w:t>Bundesamt für Verbraucherschutz und Lebensmittelsicherheit (BVL)</w:t>
      </w:r>
      <w:r w:rsidRPr="00AA5647">
        <w:rPr>
          <w:rFonts w:ascii="Arial" w:hAnsi="Arial" w:cs="Arial"/>
        </w:rPr>
        <w:br/>
        <w:t>Auswertungen aus der Datenbank des BVL 2002 ff.</w:t>
      </w:r>
    </w:p>
    <w:p w:rsidR="009E5A3A" w:rsidRPr="00AA5647" w:rsidRDefault="009E5A3A">
      <w:pPr>
        <w:rPr>
          <w:rFonts w:ascii="Arial" w:hAnsi="Arial" w:cs="Arial"/>
        </w:rPr>
      </w:pPr>
    </w:p>
    <w:p w:rsidR="009E5A3A" w:rsidRPr="00AA5647" w:rsidRDefault="009E5A3A">
      <w:pPr>
        <w:rPr>
          <w:rFonts w:ascii="Arial" w:hAnsi="Arial" w:cs="Arial"/>
          <w:b/>
        </w:rPr>
      </w:pPr>
      <w:r w:rsidRPr="00AA5647">
        <w:rPr>
          <w:rFonts w:ascii="Arial" w:hAnsi="Arial" w:cs="Arial"/>
          <w:b/>
        </w:rPr>
        <w:t>Dokumentationsstand</w:t>
      </w:r>
    </w:p>
    <w:p w:rsidR="009E5A3A" w:rsidRPr="00AA5647" w:rsidRDefault="002612C1">
      <w:pPr>
        <w:rPr>
          <w:rFonts w:ascii="Arial" w:hAnsi="Arial" w:cs="Arial"/>
        </w:rPr>
      </w:pPr>
      <w:r w:rsidRPr="00AA5647">
        <w:rPr>
          <w:rFonts w:ascii="Arial" w:hAnsi="Arial" w:cs="Arial"/>
        </w:rPr>
        <w:t>19.01.2022</w:t>
      </w:r>
      <w:r w:rsidR="004A7CF0" w:rsidRPr="00AA5647">
        <w:rPr>
          <w:rFonts w:ascii="Arial" w:hAnsi="Arial" w:cs="Arial"/>
        </w:rPr>
        <w:t>, LZG.NRW</w:t>
      </w:r>
    </w:p>
    <w:sectPr w:rsidR="009E5A3A" w:rsidRPr="00AA5647">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4AA1"/>
    <w:multiLevelType w:val="hybridMultilevel"/>
    <w:tmpl w:val="7674C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6E22"/>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A84044"/>
    <w:multiLevelType w:val="singleLevel"/>
    <w:tmpl w:val="22B6ED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2040ED"/>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442C75"/>
    <w:multiLevelType w:val="singleLevel"/>
    <w:tmpl w:val="22B6ED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86346C3"/>
    <w:multiLevelType w:val="hybridMultilevel"/>
    <w:tmpl w:val="CA606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5C488E"/>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F0"/>
    <w:rsid w:val="00142835"/>
    <w:rsid w:val="002612C1"/>
    <w:rsid w:val="002F1AAA"/>
    <w:rsid w:val="004A7CF0"/>
    <w:rsid w:val="004D0563"/>
    <w:rsid w:val="0067430F"/>
    <w:rsid w:val="007818ED"/>
    <w:rsid w:val="00854955"/>
    <w:rsid w:val="009E5A3A"/>
    <w:rsid w:val="009F52C3"/>
    <w:rsid w:val="00AA5647"/>
    <w:rsid w:val="00AD4D37"/>
    <w:rsid w:val="00AD50AE"/>
    <w:rsid w:val="00B07D5E"/>
    <w:rsid w:val="00B739A2"/>
    <w:rsid w:val="00BB13AD"/>
    <w:rsid w:val="00BE7F1D"/>
    <w:rsid w:val="00D06158"/>
    <w:rsid w:val="00E0549F"/>
    <w:rsid w:val="00E4215E"/>
    <w:rsid w:val="00F07F57"/>
    <w:rsid w:val="00FC4823"/>
    <w:rsid w:val="00FF4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EEA2DF6-D8FC-42DD-9DA8-DBF1563C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both"/>
      <w:outlineLvl w:val="0"/>
    </w:pPr>
    <w:rPr>
      <w:b/>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7430F"/>
    <w:rPr>
      <w:rFonts w:ascii="Segoe UI" w:hAnsi="Segoe UI" w:cs="Segoe UI"/>
      <w:sz w:val="18"/>
      <w:szCs w:val="18"/>
    </w:rPr>
  </w:style>
  <w:style w:type="character" w:customStyle="1" w:styleId="SprechblasentextZchn">
    <w:name w:val="Sprechblasentext Zchn"/>
    <w:link w:val="Sprechblasentext"/>
    <w:uiPriority w:val="99"/>
    <w:semiHidden/>
    <w:rsid w:val="0067430F"/>
    <w:rPr>
      <w:rFonts w:ascii="Segoe UI" w:hAnsi="Segoe UI" w:cs="Segoe UI"/>
      <w:sz w:val="18"/>
      <w:szCs w:val="18"/>
    </w:rPr>
  </w:style>
  <w:style w:type="character" w:styleId="Hyperlink">
    <w:name w:val="Hyperlink"/>
    <w:uiPriority w:val="99"/>
    <w:unhideWhenUsed/>
    <w:rsid w:val="00B739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weltbundesamt.de/service/glossar/p?tag=P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weltbundesamt.de/service/glossar/p?tag=PCDDPCDF" TargetMode="External"/><Relationship Id="rId5" Type="http://schemas.openxmlformats.org/officeDocument/2006/relationships/hyperlink" Target="https://www.umweltbundesamt.de/service/glossar/p?tag=PB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5172</CharactersWithSpaces>
  <SharedDoc>false</SharedDoc>
  <HLinks>
    <vt:vector size="18" baseType="variant">
      <vt:variant>
        <vt:i4>1114118</vt:i4>
      </vt:variant>
      <vt:variant>
        <vt:i4>6</vt:i4>
      </vt:variant>
      <vt:variant>
        <vt:i4>0</vt:i4>
      </vt:variant>
      <vt:variant>
        <vt:i4>5</vt:i4>
      </vt:variant>
      <vt:variant>
        <vt:lpwstr>https://www.umweltbundesamt.de/service/glossar/p?tag=PCB</vt:lpwstr>
      </vt:variant>
      <vt:variant>
        <vt:lpwstr>alphabar</vt:lpwstr>
      </vt:variant>
      <vt:variant>
        <vt:i4>196609</vt:i4>
      </vt:variant>
      <vt:variant>
        <vt:i4>3</vt:i4>
      </vt:variant>
      <vt:variant>
        <vt:i4>0</vt:i4>
      </vt:variant>
      <vt:variant>
        <vt:i4>5</vt:i4>
      </vt:variant>
      <vt:variant>
        <vt:lpwstr>https://www.umweltbundesamt.de/service/glossar/p?tag=PCDDPCDF</vt:lpwstr>
      </vt:variant>
      <vt:variant>
        <vt:lpwstr>alphabar</vt:lpwstr>
      </vt:variant>
      <vt:variant>
        <vt:i4>1507335</vt:i4>
      </vt:variant>
      <vt:variant>
        <vt:i4>0</vt:i4>
      </vt:variant>
      <vt:variant>
        <vt:i4>0</vt:i4>
      </vt:variant>
      <vt:variant>
        <vt:i4>5</vt:i4>
      </vt:variant>
      <vt:variant>
        <vt:lpwstr>https://www.umweltbundesamt.de/service/glossar/p?tag=PBDE</vt:lpwstr>
      </vt:variant>
      <vt:variant>
        <vt:lpwstr>alphabar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2022-01-20T10:34:00Z</cp:lastPrinted>
  <dcterms:created xsi:type="dcterms:W3CDTF">2022-02-17T07:27:00Z</dcterms:created>
  <dcterms:modified xsi:type="dcterms:W3CDTF">2022-02-17T07:27:00Z</dcterms:modified>
</cp:coreProperties>
</file>