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AD" w:rsidRPr="00447974" w:rsidRDefault="001D00AD" w:rsidP="001D00AD">
      <w:pPr>
        <w:pStyle w:val="berschrift1"/>
        <w:rPr>
          <w:rFonts w:ascii="Arial" w:hAnsi="Arial" w:cs="Arial"/>
          <w:sz w:val="20"/>
        </w:rPr>
      </w:pPr>
      <w:r w:rsidRPr="00447974">
        <w:rPr>
          <w:rFonts w:ascii="Arial" w:hAnsi="Arial" w:cs="Arial"/>
          <w:sz w:val="20"/>
        </w:rPr>
        <w:t>Indikator 3.19D (L)</w:t>
      </w:r>
    </w:p>
    <w:p w:rsidR="001D00AD" w:rsidRPr="00447974" w:rsidRDefault="001D00AD" w:rsidP="001D00AD">
      <w:pPr>
        <w:rPr>
          <w:rFonts w:ascii="Arial" w:hAnsi="Arial" w:cs="Arial"/>
          <w:b/>
          <w:sz w:val="20"/>
        </w:rPr>
      </w:pPr>
      <w:r w:rsidRPr="00447974">
        <w:rPr>
          <w:rFonts w:ascii="Arial" w:hAnsi="Arial" w:cs="Arial"/>
          <w:b/>
          <w:sz w:val="20"/>
        </w:rPr>
        <w:t>Hausärztliche Praxis: ambulante Fälle nach Alter und Geschlecht, Land, Jahr</w:t>
      </w:r>
    </w:p>
    <w:p w:rsidR="001D00AD" w:rsidRPr="00447974" w:rsidRDefault="001D00AD" w:rsidP="001D00AD">
      <w:pPr>
        <w:rPr>
          <w:rFonts w:ascii="Arial" w:hAnsi="Arial" w:cs="Arial"/>
          <w:b/>
          <w:sz w:val="20"/>
        </w:rPr>
      </w:pPr>
    </w:p>
    <w:p w:rsidR="00447974" w:rsidRPr="00447974" w:rsidRDefault="001D00AD" w:rsidP="00447974">
      <w:pPr>
        <w:pStyle w:val="berschrift2"/>
        <w:rPr>
          <w:rFonts w:ascii="Arial" w:hAnsi="Arial" w:cs="Arial"/>
        </w:rPr>
      </w:pPr>
      <w:r w:rsidRPr="00447974">
        <w:t>Definition</w:t>
      </w:r>
    </w:p>
    <w:p w:rsidR="00447974" w:rsidRPr="005C40B6" w:rsidRDefault="00447974" w:rsidP="00447974">
      <w:pPr>
        <w:rPr>
          <w:rFonts w:ascii="Arial" w:hAnsi="Arial" w:cs="Arial"/>
          <w:sz w:val="20"/>
        </w:rPr>
      </w:pPr>
      <w:r w:rsidRPr="005C40B6">
        <w:rPr>
          <w:rFonts w:ascii="Arial" w:hAnsi="Arial" w:cs="Arial"/>
          <w:sz w:val="20"/>
        </w:rPr>
        <w:t>Dieser Indikator bildet fallbezogen das Aus</w:t>
      </w:r>
      <w:r w:rsidR="002A2839">
        <w:rPr>
          <w:rFonts w:ascii="Arial" w:hAnsi="Arial" w:cs="Arial"/>
          <w:sz w:val="20"/>
        </w:rPr>
        <w:t>maß ambulant versorgter Patient</w:t>
      </w:r>
      <w:r w:rsidRPr="005C40B6">
        <w:rPr>
          <w:rFonts w:ascii="Arial" w:hAnsi="Arial" w:cs="Arial"/>
          <w:sz w:val="20"/>
        </w:rPr>
        <w:t>/innen in der hausärztl</w:t>
      </w:r>
      <w:r w:rsidRPr="005C40B6">
        <w:rPr>
          <w:rFonts w:ascii="Arial" w:hAnsi="Arial" w:cs="Arial"/>
          <w:sz w:val="20"/>
        </w:rPr>
        <w:t>i</w:t>
      </w:r>
      <w:r w:rsidRPr="005C40B6">
        <w:rPr>
          <w:rFonts w:ascii="Arial" w:hAnsi="Arial" w:cs="Arial"/>
          <w:sz w:val="20"/>
        </w:rPr>
        <w:t>chen Praxis ab. Je nach Behandlungshäufigkeit kann eine Person mehrere Fälle verursachen. Der Indikator gibt daher Au</w:t>
      </w:r>
      <w:r w:rsidRPr="005C40B6">
        <w:rPr>
          <w:rFonts w:ascii="Arial" w:hAnsi="Arial" w:cs="Arial"/>
          <w:sz w:val="20"/>
        </w:rPr>
        <w:t>s</w:t>
      </w:r>
      <w:r w:rsidRPr="005C40B6">
        <w:rPr>
          <w:rFonts w:ascii="Arial" w:hAnsi="Arial" w:cs="Arial"/>
          <w:sz w:val="20"/>
        </w:rPr>
        <w:t>kunft über die Versorgungslast, die ein/e Arzt/Ärztin zu bewältigen hat.</w:t>
      </w:r>
    </w:p>
    <w:p w:rsidR="00447974" w:rsidRPr="005C40B6" w:rsidRDefault="00447974" w:rsidP="00447974">
      <w:pPr>
        <w:rPr>
          <w:rFonts w:ascii="Arial" w:hAnsi="Arial" w:cs="Arial"/>
          <w:sz w:val="20"/>
        </w:rPr>
      </w:pPr>
    </w:p>
    <w:p w:rsidR="00447974" w:rsidRPr="005C40B6" w:rsidRDefault="00447974" w:rsidP="004479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Indikator 3.19D</w:t>
      </w:r>
      <w:r w:rsidRPr="005C40B6">
        <w:rPr>
          <w:rFonts w:ascii="Arial" w:hAnsi="Arial" w:cs="Arial"/>
          <w:sz w:val="20"/>
        </w:rPr>
        <w:t xml:space="preserve"> beruht auf Abrechnungszahlen der Kassenärztlichen Vereinigung Bayerns (KVB). Die B</w:t>
      </w:r>
      <w:r w:rsidRPr="005C40B6">
        <w:rPr>
          <w:rFonts w:ascii="Arial" w:hAnsi="Arial" w:cs="Arial"/>
          <w:sz w:val="20"/>
        </w:rPr>
        <w:t>a</w:t>
      </w:r>
      <w:r w:rsidRPr="005C40B6">
        <w:rPr>
          <w:rFonts w:ascii="Arial" w:hAnsi="Arial" w:cs="Arial"/>
          <w:sz w:val="20"/>
        </w:rPr>
        <w:t xml:space="preserve">sis für die Berechnung der ambulanten Fälle in der hausärztlichen Praxis sind die Versicherten in der Gesetzlichen Krankenversicherung (GKV), deren Zahl </w:t>
      </w:r>
      <w:r>
        <w:rPr>
          <w:rFonts w:ascii="Arial" w:hAnsi="Arial" w:cs="Arial"/>
          <w:sz w:val="20"/>
        </w:rPr>
        <w:t xml:space="preserve">auf Kreisebene </w:t>
      </w:r>
      <w:r w:rsidRPr="005C40B6">
        <w:rPr>
          <w:rFonts w:ascii="Arial" w:hAnsi="Arial" w:cs="Arial"/>
          <w:sz w:val="20"/>
        </w:rPr>
        <w:t>jedoch unbekannt ist und d</w:t>
      </w:r>
      <w:r w:rsidRPr="005C40B6">
        <w:rPr>
          <w:rFonts w:ascii="Arial" w:hAnsi="Arial" w:cs="Arial"/>
          <w:sz w:val="20"/>
        </w:rPr>
        <w:t>a</w:t>
      </w:r>
      <w:r w:rsidRPr="005C40B6">
        <w:rPr>
          <w:rFonts w:ascii="Arial" w:hAnsi="Arial" w:cs="Arial"/>
          <w:sz w:val="20"/>
        </w:rPr>
        <w:t>her näherungsweise übe</w:t>
      </w:r>
      <w:r w:rsidR="002A2839">
        <w:rPr>
          <w:rFonts w:ascii="Arial" w:hAnsi="Arial" w:cs="Arial"/>
          <w:sz w:val="20"/>
        </w:rPr>
        <w:t>r die „GKV-versicherten Patient</w:t>
      </w:r>
      <w:r w:rsidRPr="005C40B6">
        <w:rPr>
          <w:rFonts w:ascii="Arial" w:hAnsi="Arial" w:cs="Arial"/>
          <w:sz w:val="20"/>
        </w:rPr>
        <w:t>/innen“ bestimmt wird. Ein/e GKV-versicherte/r Patient/in ist definiert durch mindestens einen Arztkontakt in der ambulanten Versorgung im Abrechnung</w:t>
      </w:r>
      <w:r w:rsidRPr="005C40B6">
        <w:rPr>
          <w:rFonts w:ascii="Arial" w:hAnsi="Arial" w:cs="Arial"/>
          <w:sz w:val="20"/>
        </w:rPr>
        <w:t>s</w:t>
      </w:r>
      <w:r w:rsidRPr="005C40B6">
        <w:rPr>
          <w:rFonts w:ascii="Arial" w:hAnsi="Arial" w:cs="Arial"/>
          <w:sz w:val="20"/>
        </w:rPr>
        <w:t>jahr.</w:t>
      </w:r>
    </w:p>
    <w:p w:rsidR="00447974" w:rsidRPr="005C40B6" w:rsidRDefault="00447974" w:rsidP="00447974">
      <w:pPr>
        <w:rPr>
          <w:rFonts w:ascii="Arial" w:hAnsi="Arial" w:cs="Arial"/>
          <w:sz w:val="20"/>
        </w:rPr>
      </w:pPr>
    </w:p>
    <w:p w:rsidR="00447974" w:rsidRPr="005C40B6" w:rsidRDefault="00447974" w:rsidP="00447974">
      <w:pPr>
        <w:pStyle w:val="Textkrper"/>
        <w:tabs>
          <w:tab w:val="left" w:pos="567"/>
          <w:tab w:val="left" w:pos="141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Indikator 3.19D</w:t>
      </w:r>
      <w:r w:rsidRPr="005C40B6">
        <w:rPr>
          <w:rFonts w:ascii="Arial" w:hAnsi="Arial" w:cs="Arial"/>
          <w:sz w:val="20"/>
        </w:rPr>
        <w:t xml:space="preserve"> ve</w:t>
      </w:r>
      <w:r w:rsidR="002A2839">
        <w:rPr>
          <w:rFonts w:ascii="Arial" w:hAnsi="Arial" w:cs="Arial"/>
          <w:sz w:val="20"/>
        </w:rPr>
        <w:t>rwendet als Bezugsbasis Patient</w:t>
      </w:r>
      <w:r w:rsidRPr="005C40B6">
        <w:rPr>
          <w:rFonts w:ascii="Arial" w:hAnsi="Arial" w:cs="Arial"/>
          <w:sz w:val="20"/>
        </w:rPr>
        <w:t>/innen mit mindestens einem Arztkontakt in der ambulanten Versorgung. Der Indikator enthält die absolute Anzahl der Fälle beim Hausarzt sowie die Rate je 100.000 GKV-versicherte Patient</w:t>
      </w:r>
      <w:bookmarkStart w:id="0" w:name="_GoBack"/>
      <w:bookmarkEnd w:id="0"/>
      <w:r w:rsidRPr="005C40B6">
        <w:rPr>
          <w:rFonts w:ascii="Arial" w:hAnsi="Arial" w:cs="Arial"/>
          <w:sz w:val="20"/>
        </w:rPr>
        <w:t xml:space="preserve">/innen, differenziert nach Geschlecht. Er ist gegliedert nach </w:t>
      </w:r>
      <w:r>
        <w:rPr>
          <w:rFonts w:ascii="Arial" w:hAnsi="Arial" w:cs="Arial"/>
          <w:sz w:val="20"/>
        </w:rPr>
        <w:t>Altersgruppen</w:t>
      </w:r>
      <w:r w:rsidRPr="005C40B6">
        <w:rPr>
          <w:rFonts w:ascii="Arial" w:hAnsi="Arial" w:cs="Arial"/>
          <w:sz w:val="20"/>
        </w:rPr>
        <w:t>.</w:t>
      </w:r>
    </w:p>
    <w:p w:rsidR="001D00AD" w:rsidRPr="00447974" w:rsidRDefault="001D00AD" w:rsidP="001D00AD">
      <w:pPr>
        <w:rPr>
          <w:rFonts w:ascii="Arial" w:hAnsi="Arial" w:cs="Arial"/>
          <w:sz w:val="20"/>
        </w:rPr>
      </w:pPr>
    </w:p>
    <w:p w:rsidR="001D00AD" w:rsidRPr="00447974" w:rsidRDefault="001D00AD" w:rsidP="001D00AD">
      <w:pPr>
        <w:rPr>
          <w:rFonts w:ascii="Arial" w:hAnsi="Arial" w:cs="Arial"/>
          <w:b/>
          <w:sz w:val="20"/>
        </w:rPr>
      </w:pPr>
      <w:r w:rsidRPr="00447974">
        <w:rPr>
          <w:rFonts w:ascii="Arial" w:hAnsi="Arial" w:cs="Arial"/>
          <w:b/>
          <w:sz w:val="20"/>
        </w:rPr>
        <w:t>Datenhalter</w:t>
      </w:r>
    </w:p>
    <w:p w:rsidR="001D00AD" w:rsidRPr="00447974" w:rsidRDefault="001D00AD" w:rsidP="001D00AD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447974">
        <w:rPr>
          <w:rFonts w:ascii="Arial" w:hAnsi="Arial" w:cs="Arial"/>
          <w:sz w:val="20"/>
        </w:rPr>
        <w:t>Kassenärztliche Vereinigung Bayern</w:t>
      </w:r>
      <w:r w:rsidR="00447974">
        <w:rPr>
          <w:rFonts w:ascii="Arial" w:hAnsi="Arial" w:cs="Arial"/>
          <w:sz w:val="20"/>
        </w:rPr>
        <w:t>s</w:t>
      </w:r>
    </w:p>
    <w:p w:rsidR="001D00AD" w:rsidRPr="00447974" w:rsidRDefault="001D00AD" w:rsidP="001D00AD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1D00AD" w:rsidRPr="00447974" w:rsidRDefault="001D00AD" w:rsidP="001D00AD">
      <w:pPr>
        <w:rPr>
          <w:rFonts w:ascii="Arial" w:hAnsi="Arial" w:cs="Arial"/>
          <w:b/>
          <w:sz w:val="20"/>
          <w:lang w:val="it-IT"/>
        </w:rPr>
      </w:pPr>
      <w:r w:rsidRPr="00447974">
        <w:rPr>
          <w:rFonts w:ascii="Arial" w:hAnsi="Arial" w:cs="Arial"/>
          <w:b/>
          <w:sz w:val="20"/>
        </w:rPr>
        <w:t>Datenquelle</w:t>
      </w:r>
    </w:p>
    <w:p w:rsidR="000F66E2" w:rsidRPr="00447974" w:rsidRDefault="000F66E2" w:rsidP="000F66E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447974">
        <w:rPr>
          <w:rFonts w:ascii="Arial" w:hAnsi="Arial" w:cs="Arial"/>
          <w:sz w:val="20"/>
        </w:rPr>
        <w:t>Kassenärztliche Vereinigung Bayern</w:t>
      </w:r>
      <w:r w:rsidR="00447974">
        <w:rPr>
          <w:rFonts w:ascii="Arial" w:hAnsi="Arial" w:cs="Arial"/>
          <w:sz w:val="20"/>
        </w:rPr>
        <w:t>s</w:t>
      </w:r>
      <w:r w:rsidRPr="00447974">
        <w:rPr>
          <w:rFonts w:ascii="Arial" w:hAnsi="Arial" w:cs="Arial"/>
          <w:sz w:val="20"/>
        </w:rPr>
        <w:t xml:space="preserve"> - Abrechnungsdaten</w:t>
      </w:r>
    </w:p>
    <w:p w:rsidR="000F66E2" w:rsidRPr="00447974" w:rsidRDefault="000F66E2" w:rsidP="000F66E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lang w:val="it-IT"/>
        </w:rPr>
      </w:pPr>
    </w:p>
    <w:p w:rsidR="001D00AD" w:rsidRPr="00447974" w:rsidRDefault="001D00AD" w:rsidP="001D00AD">
      <w:pPr>
        <w:rPr>
          <w:rFonts w:ascii="Arial" w:hAnsi="Arial" w:cs="Arial"/>
          <w:b/>
          <w:sz w:val="20"/>
        </w:rPr>
      </w:pPr>
      <w:r w:rsidRPr="00447974">
        <w:rPr>
          <w:rFonts w:ascii="Arial" w:hAnsi="Arial" w:cs="Arial"/>
          <w:b/>
          <w:sz w:val="20"/>
        </w:rPr>
        <w:t>Periodizität</w:t>
      </w:r>
    </w:p>
    <w:p w:rsidR="001D00AD" w:rsidRPr="00447974" w:rsidRDefault="001D00AD" w:rsidP="001D00AD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447974">
        <w:rPr>
          <w:rFonts w:ascii="Arial" w:hAnsi="Arial" w:cs="Arial"/>
          <w:sz w:val="20"/>
        </w:rPr>
        <w:t>Jährlich</w:t>
      </w:r>
    </w:p>
    <w:p w:rsidR="001D00AD" w:rsidRPr="00447974" w:rsidRDefault="001D00AD" w:rsidP="001D00AD">
      <w:pPr>
        <w:rPr>
          <w:rFonts w:ascii="Arial" w:hAnsi="Arial" w:cs="Arial"/>
          <w:b/>
          <w:sz w:val="20"/>
        </w:rPr>
      </w:pPr>
    </w:p>
    <w:p w:rsidR="001D00AD" w:rsidRPr="00447974" w:rsidRDefault="001D00AD" w:rsidP="001D00AD">
      <w:pPr>
        <w:rPr>
          <w:rFonts w:ascii="Arial" w:hAnsi="Arial" w:cs="Arial"/>
          <w:b/>
          <w:sz w:val="20"/>
        </w:rPr>
      </w:pPr>
      <w:r w:rsidRPr="00447974">
        <w:rPr>
          <w:rFonts w:ascii="Arial" w:hAnsi="Arial" w:cs="Arial"/>
          <w:b/>
          <w:sz w:val="20"/>
        </w:rPr>
        <w:t>Validität</w:t>
      </w:r>
    </w:p>
    <w:p w:rsidR="00447974" w:rsidRPr="005C40B6" w:rsidRDefault="00447974" w:rsidP="00447974">
      <w:pPr>
        <w:rPr>
          <w:rFonts w:ascii="Arial" w:hAnsi="Arial" w:cs="Arial"/>
          <w:sz w:val="20"/>
        </w:rPr>
      </w:pPr>
      <w:r w:rsidRPr="005C40B6">
        <w:rPr>
          <w:rFonts w:ascii="Arial" w:hAnsi="Arial" w:cs="Arial"/>
          <w:sz w:val="20"/>
        </w:rPr>
        <w:t>Die Qualität der Daten hängt von der sorgfältigen Registrierung aller Behandlungsanlässe ab. Die Aufarbeitungsro</w:t>
      </w:r>
      <w:r w:rsidRPr="005C40B6">
        <w:rPr>
          <w:rFonts w:ascii="Arial" w:hAnsi="Arial" w:cs="Arial"/>
          <w:sz w:val="20"/>
        </w:rPr>
        <w:t>u</w:t>
      </w:r>
      <w:r w:rsidRPr="005C40B6">
        <w:rPr>
          <w:rFonts w:ascii="Arial" w:hAnsi="Arial" w:cs="Arial"/>
          <w:sz w:val="20"/>
        </w:rPr>
        <w:t>tinen der KVB sind qualitätsgesichert. Einschränkungen bestehen darin, dass im Abrechnungssystem gegenwärtig B</w:t>
      </w:r>
      <w:r w:rsidRPr="005C40B6">
        <w:rPr>
          <w:rFonts w:ascii="Arial" w:hAnsi="Arial" w:cs="Arial"/>
          <w:sz w:val="20"/>
        </w:rPr>
        <w:t>e</w:t>
      </w:r>
      <w:r w:rsidRPr="005C40B6">
        <w:rPr>
          <w:rFonts w:ascii="Arial" w:hAnsi="Arial" w:cs="Arial"/>
          <w:sz w:val="20"/>
        </w:rPr>
        <w:t>handlungsanlässe, aber keine Inzidenzen, Prävalenzen oder die Dauer von Behandlungsepisoden erfasst werden, für die ein höherer Au</w:t>
      </w:r>
      <w:r w:rsidRPr="005C40B6">
        <w:rPr>
          <w:rFonts w:ascii="Arial" w:hAnsi="Arial" w:cs="Arial"/>
          <w:sz w:val="20"/>
        </w:rPr>
        <w:t>f</w:t>
      </w:r>
      <w:r w:rsidRPr="005C40B6">
        <w:rPr>
          <w:rFonts w:ascii="Arial" w:hAnsi="Arial" w:cs="Arial"/>
          <w:sz w:val="20"/>
        </w:rPr>
        <w:t>wand zu investieren wäre.</w:t>
      </w:r>
    </w:p>
    <w:p w:rsidR="00447974" w:rsidRDefault="00447974" w:rsidP="004479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Validitätseinschränkungen resultieren zudem aus der postleitzahlgestützten Regionalzuordnung und der Notwendigkeit; die GKV- Versicherten auf Kreisebene zu schätzen.</w:t>
      </w:r>
    </w:p>
    <w:p w:rsidR="00447974" w:rsidRDefault="00447974" w:rsidP="00447974">
      <w:pPr>
        <w:rPr>
          <w:rFonts w:ascii="Arial" w:hAnsi="Arial" w:cs="Arial"/>
          <w:sz w:val="20"/>
        </w:rPr>
      </w:pPr>
    </w:p>
    <w:p w:rsidR="001D00AD" w:rsidRPr="00447974" w:rsidRDefault="00447974" w:rsidP="00447974">
      <w:pPr>
        <w:rPr>
          <w:rFonts w:ascii="Arial" w:hAnsi="Arial" w:cs="Arial"/>
          <w:sz w:val="20"/>
        </w:rPr>
      </w:pPr>
      <w:r w:rsidRPr="005C40B6">
        <w:rPr>
          <w:rFonts w:ascii="Arial" w:hAnsi="Arial" w:cs="Arial"/>
          <w:sz w:val="20"/>
        </w:rPr>
        <w:t>Die Anzahl der Patienten/innen ist aufgrund von Versicherungswechslern überschätzt. Des Weiteren übersteigt die Anzahl der Patienten/innen die stic</w:t>
      </w:r>
      <w:r w:rsidRPr="005C40B6">
        <w:rPr>
          <w:rFonts w:ascii="Arial" w:hAnsi="Arial" w:cs="Arial"/>
          <w:sz w:val="20"/>
        </w:rPr>
        <w:t>h</w:t>
      </w:r>
      <w:r w:rsidRPr="005C40B6">
        <w:rPr>
          <w:rFonts w:ascii="Arial" w:hAnsi="Arial" w:cs="Arial"/>
          <w:sz w:val="20"/>
        </w:rPr>
        <w:t>tagsbezogene Zahl der GKV-Versicherten in Bayern aufgrund von unterjährigen Umzügen nach Bayern bzw. aus Bayern heraus. Um abgesehen von Ve</w:t>
      </w:r>
      <w:r w:rsidRPr="005C40B6">
        <w:rPr>
          <w:rFonts w:ascii="Arial" w:hAnsi="Arial" w:cs="Arial"/>
          <w:sz w:val="20"/>
        </w:rPr>
        <w:t>r</w:t>
      </w:r>
      <w:r w:rsidRPr="005C40B6">
        <w:rPr>
          <w:rFonts w:ascii="Arial" w:hAnsi="Arial" w:cs="Arial"/>
          <w:sz w:val="20"/>
        </w:rPr>
        <w:t>sicherungswechslern weitere Doppelnennungen zu vermeiden, wu</w:t>
      </w:r>
      <w:r w:rsidRPr="005C40B6">
        <w:rPr>
          <w:rFonts w:ascii="Arial" w:hAnsi="Arial" w:cs="Arial"/>
          <w:sz w:val="20"/>
        </w:rPr>
        <w:t>r</w:t>
      </w:r>
      <w:r w:rsidRPr="005C40B6">
        <w:rPr>
          <w:rFonts w:ascii="Arial" w:hAnsi="Arial" w:cs="Arial"/>
          <w:sz w:val="20"/>
        </w:rPr>
        <w:t>den bei den Patienten/innen das jeweils zuletzt bekannte Alter sowie die zuletzt bekannte Postleitzahl zugrunde gelegt. Es wurden nur Patienten/innen mit bayerischer Pos</w:t>
      </w:r>
      <w:r w:rsidRPr="005C40B6">
        <w:rPr>
          <w:rFonts w:ascii="Arial" w:hAnsi="Arial" w:cs="Arial"/>
          <w:sz w:val="20"/>
        </w:rPr>
        <w:t>t</w:t>
      </w:r>
      <w:r w:rsidRPr="005C40B6">
        <w:rPr>
          <w:rFonts w:ascii="Arial" w:hAnsi="Arial" w:cs="Arial"/>
          <w:sz w:val="20"/>
        </w:rPr>
        <w:t>leitzahl betrachtet. In der Gesamtzahl der Patienten/innen wurden auch Patienten/innen mit fehlender Alters- bzw. Geschlechtangabe b</w:t>
      </w:r>
      <w:r w:rsidRPr="005C40B6">
        <w:rPr>
          <w:rFonts w:ascii="Arial" w:hAnsi="Arial" w:cs="Arial"/>
          <w:sz w:val="20"/>
        </w:rPr>
        <w:t>e</w:t>
      </w:r>
      <w:r w:rsidRPr="005C40B6">
        <w:rPr>
          <w:rFonts w:ascii="Arial" w:hAnsi="Arial" w:cs="Arial"/>
          <w:sz w:val="20"/>
        </w:rPr>
        <w:t>rücksichtigt</w:t>
      </w:r>
    </w:p>
    <w:p w:rsidR="001D00AD" w:rsidRPr="00447974" w:rsidRDefault="001D00AD" w:rsidP="001D00AD">
      <w:pPr>
        <w:rPr>
          <w:rFonts w:ascii="Arial" w:hAnsi="Arial" w:cs="Arial"/>
          <w:sz w:val="20"/>
        </w:rPr>
      </w:pPr>
    </w:p>
    <w:p w:rsidR="001D00AD" w:rsidRPr="00447974" w:rsidRDefault="001D00AD" w:rsidP="001D00AD">
      <w:pPr>
        <w:rPr>
          <w:rFonts w:ascii="Arial" w:hAnsi="Arial" w:cs="Arial"/>
          <w:b/>
          <w:sz w:val="20"/>
        </w:rPr>
      </w:pPr>
      <w:r w:rsidRPr="00447974">
        <w:rPr>
          <w:rFonts w:ascii="Arial" w:hAnsi="Arial" w:cs="Arial"/>
          <w:b/>
          <w:sz w:val="20"/>
        </w:rPr>
        <w:t>Vergleichbarkeit</w:t>
      </w:r>
    </w:p>
    <w:p w:rsidR="00E33960" w:rsidRDefault="001D00AD" w:rsidP="00447974">
      <w:pPr>
        <w:pStyle w:val="Kopfzeile"/>
        <w:rPr>
          <w:rFonts w:ascii="Arial" w:hAnsi="Arial" w:cs="Arial"/>
          <w:sz w:val="20"/>
        </w:rPr>
      </w:pPr>
      <w:r w:rsidRPr="00447974">
        <w:rPr>
          <w:rFonts w:ascii="Arial" w:hAnsi="Arial" w:cs="Arial"/>
          <w:sz w:val="20"/>
        </w:rPr>
        <w:t>Es gibt keine entsprechenden WHO-, OECD- und EU-Indikatoren.</w:t>
      </w:r>
      <w:r w:rsidR="00FF75C8" w:rsidRPr="00447974">
        <w:rPr>
          <w:rFonts w:ascii="Arial" w:hAnsi="Arial" w:cs="Arial"/>
          <w:sz w:val="20"/>
        </w:rPr>
        <w:t xml:space="preserve"> Diesen Indikator gab es im bisher</w:t>
      </w:r>
      <w:r w:rsidR="00FF75C8" w:rsidRPr="00447974">
        <w:rPr>
          <w:rFonts w:ascii="Arial" w:hAnsi="Arial" w:cs="Arial"/>
          <w:sz w:val="20"/>
        </w:rPr>
        <w:t>i</w:t>
      </w:r>
      <w:r w:rsidR="00FF75C8" w:rsidRPr="00447974">
        <w:rPr>
          <w:rFonts w:ascii="Arial" w:hAnsi="Arial" w:cs="Arial"/>
          <w:sz w:val="20"/>
        </w:rPr>
        <w:t xml:space="preserve">gen </w:t>
      </w:r>
      <w:proofErr w:type="spellStart"/>
      <w:r w:rsidR="00FF75C8" w:rsidRPr="00447974">
        <w:rPr>
          <w:rFonts w:ascii="Arial" w:hAnsi="Arial" w:cs="Arial"/>
          <w:sz w:val="20"/>
        </w:rPr>
        <w:t>Indik</w:t>
      </w:r>
      <w:r w:rsidR="00FF75C8" w:rsidRPr="00447974">
        <w:rPr>
          <w:rFonts w:ascii="Arial" w:hAnsi="Arial" w:cs="Arial"/>
          <w:sz w:val="20"/>
        </w:rPr>
        <w:t>a</w:t>
      </w:r>
      <w:r w:rsidR="00FF75C8" w:rsidRPr="00447974">
        <w:rPr>
          <w:rFonts w:ascii="Arial" w:hAnsi="Arial" w:cs="Arial"/>
          <w:sz w:val="20"/>
        </w:rPr>
        <w:t>torensatz</w:t>
      </w:r>
      <w:proofErr w:type="spellEnd"/>
      <w:r w:rsidR="00FF75C8" w:rsidRPr="00447974">
        <w:rPr>
          <w:rFonts w:ascii="Arial" w:hAnsi="Arial" w:cs="Arial"/>
          <w:sz w:val="20"/>
        </w:rPr>
        <w:t xml:space="preserve"> nicht.</w:t>
      </w:r>
    </w:p>
    <w:p w:rsidR="002A2839" w:rsidRPr="00685A74" w:rsidRDefault="002A2839" w:rsidP="002A2839">
      <w:pPr>
        <w:rPr>
          <w:rFonts w:ascii="Arial" w:hAnsi="Arial" w:cs="Arial"/>
          <w:sz w:val="20"/>
        </w:rPr>
      </w:pPr>
    </w:p>
    <w:p w:rsidR="002A2839" w:rsidRPr="00685A74" w:rsidRDefault="002A2839" w:rsidP="002A2839">
      <w:pPr>
        <w:rPr>
          <w:rFonts w:ascii="Arial" w:hAnsi="Arial" w:cs="Arial"/>
          <w:b/>
          <w:sz w:val="20"/>
        </w:rPr>
      </w:pPr>
      <w:r w:rsidRPr="00685A74">
        <w:rPr>
          <w:rFonts w:ascii="Arial" w:hAnsi="Arial" w:cs="Arial"/>
          <w:b/>
          <w:sz w:val="20"/>
        </w:rPr>
        <w:t>Stand</w:t>
      </w:r>
    </w:p>
    <w:p w:rsidR="002A2839" w:rsidRPr="00685A74" w:rsidRDefault="002A2839" w:rsidP="002A2839">
      <w:pPr>
        <w:rPr>
          <w:rFonts w:ascii="Arial" w:hAnsi="Arial" w:cs="Arial"/>
          <w:sz w:val="20"/>
        </w:rPr>
      </w:pPr>
      <w:r w:rsidRPr="00685A74">
        <w:rPr>
          <w:rFonts w:ascii="Arial" w:hAnsi="Arial" w:cs="Arial"/>
          <w:sz w:val="20"/>
        </w:rPr>
        <w:t>Mai 2021</w:t>
      </w:r>
    </w:p>
    <w:p w:rsidR="002A2839" w:rsidRPr="00447974" w:rsidRDefault="002A2839" w:rsidP="00447974">
      <w:pPr>
        <w:pStyle w:val="Kopfzeile"/>
        <w:rPr>
          <w:rFonts w:ascii="Arial" w:hAnsi="Arial" w:cs="Arial"/>
          <w:sz w:val="20"/>
        </w:rPr>
      </w:pPr>
    </w:p>
    <w:sectPr w:rsidR="002A2839" w:rsidRPr="00447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47D" w:rsidRDefault="0034147D">
      <w:r>
        <w:separator/>
      </w:r>
    </w:p>
  </w:endnote>
  <w:endnote w:type="continuationSeparator" w:id="0">
    <w:p w:rsidR="0034147D" w:rsidRDefault="0034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839" w:rsidRDefault="002A28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839" w:rsidRDefault="002A28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22" w:rsidRDefault="00853122">
    <w:pPr>
      <w:pStyle w:val="Fu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47D" w:rsidRDefault="0034147D">
      <w:r>
        <w:separator/>
      </w:r>
    </w:p>
  </w:footnote>
  <w:footnote w:type="continuationSeparator" w:id="0">
    <w:p w:rsidR="0034147D" w:rsidRDefault="0034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22" w:rsidRDefault="0085312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853122" w:rsidRDefault="008531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22" w:rsidRDefault="0085312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853122" w:rsidRDefault="008531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839" w:rsidRDefault="002A28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6624"/>
    <w:multiLevelType w:val="singleLevel"/>
    <w:tmpl w:val="22A44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F43447"/>
    <w:multiLevelType w:val="singleLevel"/>
    <w:tmpl w:val="22A44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60"/>
    <w:rsid w:val="000F66E2"/>
    <w:rsid w:val="001D00AD"/>
    <w:rsid w:val="002A2839"/>
    <w:rsid w:val="0034147D"/>
    <w:rsid w:val="003F522B"/>
    <w:rsid w:val="00447974"/>
    <w:rsid w:val="00463FA0"/>
    <w:rsid w:val="00525B28"/>
    <w:rsid w:val="00691A40"/>
    <w:rsid w:val="007A630F"/>
    <w:rsid w:val="00853122"/>
    <w:rsid w:val="008C7D5C"/>
    <w:rsid w:val="00956F4E"/>
    <w:rsid w:val="00BF7A91"/>
    <w:rsid w:val="00CF1060"/>
    <w:rsid w:val="00DD0F92"/>
    <w:rsid w:val="00E33960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281CE"/>
  <w15:chartTrackingRefBased/>
  <w15:docId w15:val="{A17CBD61-059C-4D93-A047-5A3A3898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b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2">
    <w:name w:val="Body Text 2"/>
    <w:basedOn w:val="Standard"/>
    <w:pPr>
      <w:jc w:val="both"/>
    </w:pPr>
    <w:rPr>
      <w:sz w:val="20"/>
    </w:rPr>
  </w:style>
  <w:style w:type="paragraph" w:styleId="Sprechblasentext">
    <w:name w:val="Balloon Text"/>
    <w:basedOn w:val="Standard"/>
    <w:semiHidden/>
    <w:rsid w:val="00E33960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1D00AD"/>
    <w:rPr>
      <w:b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Metadatenbeschreibung</vt:lpstr>
    </vt:vector>
  </TitlesOfParts>
  <Company>LÖGD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Metadatenbeschreibung</dc:title>
  <dc:subject/>
  <dc:creator>bardehle</dc:creator>
  <cp:keywords/>
  <dc:description/>
  <cp:lastModifiedBy>Zollikofer, Sylvia (LGL)</cp:lastModifiedBy>
  <cp:revision>2</cp:revision>
  <cp:lastPrinted>2007-08-28T12:29:00Z</cp:lastPrinted>
  <dcterms:created xsi:type="dcterms:W3CDTF">2021-07-06T09:49:00Z</dcterms:created>
  <dcterms:modified xsi:type="dcterms:W3CDTF">2021-07-06T09:49:00Z</dcterms:modified>
</cp:coreProperties>
</file>