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B" w:rsidRPr="00CB25C7" w:rsidRDefault="00A4329E">
      <w:pPr>
        <w:rPr>
          <w:rFonts w:ascii="Arial" w:hAnsi="Arial" w:cs="Arial"/>
          <w:b/>
        </w:rPr>
      </w:pPr>
      <w:r w:rsidRPr="00CB25C7">
        <w:rPr>
          <w:rFonts w:ascii="Arial" w:hAnsi="Arial" w:cs="Arial"/>
          <w:b/>
        </w:rPr>
        <w:t>Indikator 7.16H</w:t>
      </w:r>
      <w:r w:rsidR="00AF2CEB" w:rsidRPr="00CB25C7">
        <w:rPr>
          <w:rFonts w:ascii="Arial" w:hAnsi="Arial" w:cs="Arial"/>
          <w:b/>
        </w:rPr>
        <w:t xml:space="preserve"> (L)</w:t>
      </w:r>
    </w:p>
    <w:p w:rsidR="00AF2CEB" w:rsidRPr="00CB25C7" w:rsidRDefault="007F5DDE">
      <w:pPr>
        <w:pStyle w:val="Textkrper2"/>
        <w:jc w:val="left"/>
        <w:rPr>
          <w:rFonts w:ascii="Arial" w:hAnsi="Arial" w:cs="Arial"/>
        </w:rPr>
      </w:pPr>
      <w:r w:rsidRPr="00CB25C7">
        <w:rPr>
          <w:rFonts w:ascii="Arial" w:hAnsi="Arial" w:cs="Arial"/>
          <w:snapToGrid w:val="0"/>
        </w:rPr>
        <w:t xml:space="preserve">Beteiligung </w:t>
      </w:r>
      <w:r w:rsidR="009B7DF5" w:rsidRPr="00CB25C7">
        <w:rPr>
          <w:rFonts w:ascii="Arial" w:hAnsi="Arial" w:cs="Arial"/>
          <w:snapToGrid w:val="0"/>
        </w:rPr>
        <w:t>am Hautkrebs- Screening (ab dem Alter von 35</w:t>
      </w:r>
      <w:r w:rsidR="00866C96" w:rsidRPr="00CB25C7">
        <w:rPr>
          <w:rFonts w:ascii="Arial" w:hAnsi="Arial" w:cs="Arial"/>
          <w:snapToGrid w:val="0"/>
        </w:rPr>
        <w:t xml:space="preserve"> Jahren)</w:t>
      </w:r>
      <w:r w:rsidR="009B7DF5" w:rsidRPr="00CB25C7">
        <w:rPr>
          <w:rFonts w:ascii="Arial" w:hAnsi="Arial" w:cs="Arial"/>
          <w:snapToGrid w:val="0"/>
        </w:rPr>
        <w:t xml:space="preserve"> nach</w:t>
      </w:r>
      <w:r w:rsidR="00EB67E7" w:rsidRPr="00CB25C7">
        <w:rPr>
          <w:rFonts w:ascii="Arial" w:hAnsi="Arial" w:cs="Arial"/>
          <w:snapToGrid w:val="0"/>
        </w:rPr>
        <w:t xml:space="preserve"> Alter und</w:t>
      </w:r>
      <w:r w:rsidR="009B7DF5" w:rsidRPr="00CB25C7">
        <w:rPr>
          <w:rFonts w:ascii="Arial" w:hAnsi="Arial" w:cs="Arial"/>
          <w:snapToGrid w:val="0"/>
        </w:rPr>
        <w:t xml:space="preserve"> Geschlecht</w:t>
      </w:r>
      <w:r w:rsidR="000E39D3" w:rsidRPr="00CB25C7">
        <w:rPr>
          <w:rFonts w:ascii="Arial" w:hAnsi="Arial" w:cs="Arial"/>
          <w:snapToGrid w:val="0"/>
        </w:rPr>
        <w:t>, Land</w:t>
      </w:r>
      <w:r w:rsidR="00292EC0" w:rsidRPr="00CB25C7">
        <w:rPr>
          <w:rFonts w:ascii="Arial" w:hAnsi="Arial" w:cs="Arial"/>
          <w:snapToGrid w:val="0"/>
        </w:rPr>
        <w:t>, Jahr</w:t>
      </w:r>
    </w:p>
    <w:p w:rsidR="00AF2CEB" w:rsidRPr="00CB25C7" w:rsidRDefault="00AF2CEB">
      <w:pPr>
        <w:rPr>
          <w:rFonts w:ascii="Arial" w:hAnsi="Arial" w:cs="Arial"/>
          <w:b/>
        </w:rPr>
      </w:pPr>
    </w:p>
    <w:p w:rsidR="00AF2CEB" w:rsidRPr="00CB25C7" w:rsidRDefault="00AF2CEB">
      <w:pPr>
        <w:rPr>
          <w:rFonts w:ascii="Arial" w:hAnsi="Arial" w:cs="Arial"/>
          <w:b/>
        </w:rPr>
      </w:pPr>
      <w:r w:rsidRPr="00CB25C7">
        <w:rPr>
          <w:rFonts w:ascii="Arial" w:hAnsi="Arial" w:cs="Arial"/>
          <w:b/>
        </w:rPr>
        <w:t>Definition</w:t>
      </w:r>
    </w:p>
    <w:p w:rsidR="00CB25C7" w:rsidRPr="001B1644" w:rsidRDefault="00CB25C7" w:rsidP="00CB25C7">
      <w:pPr>
        <w:pStyle w:val="Textkrper"/>
        <w:tabs>
          <w:tab w:val="left" w:pos="567"/>
          <w:tab w:val="left" w:pos="1418"/>
        </w:tabs>
        <w:rPr>
          <w:rFonts w:ascii="Arial" w:hAnsi="Arial" w:cs="Arial"/>
        </w:rPr>
      </w:pPr>
      <w:r w:rsidRPr="001B1644">
        <w:rPr>
          <w:rFonts w:ascii="Arial" w:hAnsi="Arial" w:cs="Arial"/>
        </w:rPr>
        <w:t xml:space="preserve">Früherkennungsuntersuchungen, in der Fachsprache Screening genannt, sind ein wichtiges Instrument der Sekundärprävention. Frauen können ab dem 20. Lebensjahr und Männer ab dem 35. Lebensjahr Krebsfrüherkennungsuntersuchungen wahrnehmen. Seit dem </w:t>
      </w:r>
      <w:smartTag w:uri="urn:schemas-microsoft-com:office:smarttags" w:element="date">
        <w:smartTagPr>
          <w:attr w:name="ls" w:val="trans"/>
          <w:attr w:name="Month" w:val="7"/>
          <w:attr w:name="Day" w:val="01"/>
          <w:attr w:name="Year" w:val="2008"/>
        </w:smartTagPr>
        <w:r w:rsidRPr="001B1644">
          <w:rPr>
            <w:rFonts w:ascii="Arial" w:hAnsi="Arial" w:cs="Arial"/>
          </w:rPr>
          <w:t>01. Juli 2008</w:t>
        </w:r>
      </w:smartTag>
      <w:r w:rsidRPr="001B1644">
        <w:rPr>
          <w:rFonts w:ascii="Arial" w:hAnsi="Arial" w:cs="Arial"/>
        </w:rPr>
        <w:t xml:space="preserve"> haben alle in Deutschland gesetzlich Krankenversicherte einen Anspruch auf ein Hautkrebs-Screening. Die Früherkennungsuntersuchung wird alle </w:t>
      </w:r>
      <w:r w:rsidR="00D509EC">
        <w:rPr>
          <w:rFonts w:ascii="Arial" w:hAnsi="Arial" w:cs="Arial"/>
        </w:rPr>
        <w:t>3</w:t>
      </w:r>
      <w:r w:rsidRPr="001B1644">
        <w:rPr>
          <w:rFonts w:ascii="Arial" w:hAnsi="Arial" w:cs="Arial"/>
        </w:rPr>
        <w:t xml:space="preserve"> Jahre ab einem Alter von 35 Jahren durchgeführt. Hier wird nach den drei Hautkrebserkrankungen Basalzellkrebs, </w:t>
      </w:r>
      <w:proofErr w:type="spellStart"/>
      <w:r w:rsidRPr="001B1644">
        <w:rPr>
          <w:rFonts w:ascii="Arial" w:hAnsi="Arial" w:cs="Arial"/>
        </w:rPr>
        <w:t>spinozelluläres</w:t>
      </w:r>
      <w:proofErr w:type="spellEnd"/>
      <w:r w:rsidRPr="001B1644">
        <w:rPr>
          <w:rFonts w:ascii="Arial" w:hAnsi="Arial" w:cs="Arial"/>
        </w:rPr>
        <w:t xml:space="preserve"> Karzinom und malignes Melanom systematisch gesucht</w:t>
      </w:r>
      <w:r>
        <w:rPr>
          <w:rFonts w:ascii="Arial" w:hAnsi="Arial" w:cs="Arial"/>
        </w:rPr>
        <w:t>. Das Hautkrebs-S</w:t>
      </w:r>
      <w:r w:rsidRPr="001B1644">
        <w:rPr>
          <w:rFonts w:ascii="Arial" w:hAnsi="Arial" w:cs="Arial"/>
        </w:rPr>
        <w:t>creening zielt darauf ab, die Heilungschancen zu erhöhen, die Lebensqualität zu verbessern sowie die Zahl der Hautkrebserkrankungen zu verringern. Wird Hautkrebs früh erkannt, ist er nahezu 100 Prozent heilbar.</w:t>
      </w:r>
    </w:p>
    <w:p w:rsidR="00CB25C7" w:rsidRPr="001B1644" w:rsidRDefault="00CB25C7" w:rsidP="00CB25C7">
      <w:pPr>
        <w:pStyle w:val="Textkrper"/>
        <w:tabs>
          <w:tab w:val="left" w:pos="567"/>
          <w:tab w:val="left" w:pos="1418"/>
        </w:tabs>
        <w:jc w:val="left"/>
        <w:rPr>
          <w:rFonts w:ascii="Arial" w:hAnsi="Arial" w:cs="Arial"/>
        </w:rPr>
      </w:pPr>
    </w:p>
    <w:p w:rsidR="00CB25C7" w:rsidRPr="001B1644" w:rsidRDefault="00CB25C7" w:rsidP="00CB25C7">
      <w:pPr>
        <w:rPr>
          <w:rFonts w:ascii="Arial" w:hAnsi="Arial" w:cs="Arial"/>
        </w:rPr>
      </w:pPr>
      <w:r>
        <w:rPr>
          <w:rFonts w:ascii="Arial" w:hAnsi="Arial" w:cs="Arial"/>
        </w:rPr>
        <w:t>Der Indikator 7.16H</w:t>
      </w:r>
      <w:r w:rsidRPr="001B1644">
        <w:rPr>
          <w:rFonts w:ascii="Arial" w:hAnsi="Arial" w:cs="Arial"/>
        </w:rPr>
        <w:t xml:space="preserve"> beruht auf Abrechnungszahlen der Kassenärztlichen Vereinigung Bayerns (KVB). Die Basis für die Berechnung der Beteiligung am Hautkrebs-Screening sind die Versicherten in der Gesetzlichen Krankenversicherung (GKV) in der entsprechenden Altersgruppe, deren Zahl</w:t>
      </w:r>
      <w:r>
        <w:rPr>
          <w:rFonts w:ascii="Arial" w:hAnsi="Arial" w:cs="Arial"/>
        </w:rPr>
        <w:t xml:space="preserve"> auf Kreisebene</w:t>
      </w:r>
      <w:r w:rsidRPr="001B1644">
        <w:rPr>
          <w:rFonts w:ascii="Arial" w:hAnsi="Arial" w:cs="Arial"/>
        </w:rPr>
        <w:t xml:space="preserve"> jedoch unbekannt ist und daher näherungsweise übe</w:t>
      </w:r>
      <w:r w:rsidR="000F7FB0">
        <w:rPr>
          <w:rFonts w:ascii="Arial" w:hAnsi="Arial" w:cs="Arial"/>
        </w:rPr>
        <w:t>r die „GKV-versicherten Patient</w:t>
      </w:r>
      <w:r w:rsidRPr="001B1644">
        <w:rPr>
          <w:rFonts w:ascii="Arial" w:hAnsi="Arial" w:cs="Arial"/>
        </w:rPr>
        <w:t xml:space="preserve">/innen“ bestimmt wird. Ein/e GKV-versicherte/r Patient/in ist definiert durch mindestens einen Arztkontakt in der ambulanten Versorgung im Abrechnungsjahr. </w:t>
      </w:r>
    </w:p>
    <w:p w:rsidR="00CB25C7" w:rsidRPr="001B1644" w:rsidRDefault="00CB25C7" w:rsidP="00CB25C7">
      <w:pPr>
        <w:pStyle w:val="Textkrper"/>
        <w:tabs>
          <w:tab w:val="left" w:pos="567"/>
          <w:tab w:val="left" w:pos="1418"/>
        </w:tabs>
        <w:jc w:val="left"/>
        <w:rPr>
          <w:rFonts w:ascii="Arial" w:hAnsi="Arial" w:cs="Arial"/>
        </w:rPr>
      </w:pPr>
    </w:p>
    <w:p w:rsidR="00CB25C7" w:rsidRPr="001B1644" w:rsidRDefault="00CB25C7" w:rsidP="00CB25C7">
      <w:pPr>
        <w:pStyle w:val="Textkrper"/>
        <w:tabs>
          <w:tab w:val="left" w:pos="567"/>
          <w:tab w:val="left" w:pos="1418"/>
        </w:tabs>
        <w:jc w:val="left"/>
        <w:rPr>
          <w:rFonts w:ascii="Arial" w:hAnsi="Arial" w:cs="Arial"/>
        </w:rPr>
      </w:pPr>
      <w:r>
        <w:rPr>
          <w:rFonts w:ascii="Arial" w:hAnsi="Arial" w:cs="Arial"/>
        </w:rPr>
        <w:t>Indikator 7.16H</w:t>
      </w:r>
      <w:r w:rsidRPr="001B1644">
        <w:rPr>
          <w:rFonts w:ascii="Arial" w:hAnsi="Arial" w:cs="Arial"/>
        </w:rPr>
        <w:t xml:space="preserve"> verwendet als Bezugsbasis Patienten/innen über 35 Jahre mit mindestens einem Arztkontakt in der ambulanten Versorgung. Der Indikator enthält </w:t>
      </w:r>
      <w:r w:rsidR="000F7FB0">
        <w:rPr>
          <w:rFonts w:ascii="Arial" w:hAnsi="Arial" w:cs="Arial"/>
        </w:rPr>
        <w:t>die absolute Anzahl der Patient</w:t>
      </w:r>
      <w:r w:rsidRPr="001B1644">
        <w:rPr>
          <w:rFonts w:ascii="Arial" w:hAnsi="Arial" w:cs="Arial"/>
        </w:rPr>
        <w:t xml:space="preserve">/innen, die sich am Hautkrebs-Screening beteiligt haben, sowie die Rate je </w:t>
      </w:r>
      <w:r w:rsidR="000F7FB0">
        <w:rPr>
          <w:rFonts w:ascii="Arial" w:hAnsi="Arial" w:cs="Arial"/>
        </w:rPr>
        <w:t>100.000 GKV-versicherte Patient</w:t>
      </w:r>
      <w:r w:rsidRPr="001B1644">
        <w:rPr>
          <w:rFonts w:ascii="Arial" w:hAnsi="Arial" w:cs="Arial"/>
        </w:rPr>
        <w:t xml:space="preserve">/innen, differenziert nach Geschlecht. Der Indikator ist gegliedert nach </w:t>
      </w:r>
      <w:r>
        <w:rPr>
          <w:rFonts w:ascii="Arial" w:hAnsi="Arial" w:cs="Arial"/>
        </w:rPr>
        <w:t>Altersgruppen</w:t>
      </w:r>
      <w:r w:rsidRPr="001B1644">
        <w:rPr>
          <w:rFonts w:ascii="Arial" w:hAnsi="Arial" w:cs="Arial"/>
        </w:rPr>
        <w:t>.</w:t>
      </w:r>
    </w:p>
    <w:p w:rsidR="00AF2CEB" w:rsidRPr="00CB25C7" w:rsidRDefault="00AF2CEB">
      <w:pPr>
        <w:rPr>
          <w:rFonts w:ascii="Arial" w:hAnsi="Arial" w:cs="Arial"/>
        </w:rPr>
      </w:pPr>
    </w:p>
    <w:p w:rsidR="00AF2CEB" w:rsidRPr="00CB25C7" w:rsidRDefault="00AF2CEB">
      <w:pPr>
        <w:rPr>
          <w:rFonts w:ascii="Arial" w:hAnsi="Arial" w:cs="Arial"/>
          <w:b/>
        </w:rPr>
      </w:pPr>
      <w:r w:rsidRPr="00CB25C7">
        <w:rPr>
          <w:rFonts w:ascii="Arial" w:hAnsi="Arial" w:cs="Arial"/>
          <w:b/>
        </w:rPr>
        <w:t>Datenhalter</w:t>
      </w:r>
    </w:p>
    <w:p w:rsidR="00AF2CEB" w:rsidRPr="00CB25C7" w:rsidRDefault="003741FA">
      <w:pPr>
        <w:rPr>
          <w:rFonts w:ascii="Arial" w:hAnsi="Arial" w:cs="Arial"/>
        </w:rPr>
      </w:pPr>
      <w:r w:rsidRPr="00CB25C7">
        <w:rPr>
          <w:rFonts w:ascii="Arial" w:hAnsi="Arial" w:cs="Arial"/>
        </w:rPr>
        <w:t>Kassenärztliche Vereinigung Bayern</w:t>
      </w:r>
      <w:r w:rsidR="00CB25C7">
        <w:rPr>
          <w:rFonts w:ascii="Arial" w:hAnsi="Arial" w:cs="Arial"/>
        </w:rPr>
        <w:t>s</w:t>
      </w:r>
    </w:p>
    <w:p w:rsidR="00AF2CEB" w:rsidRPr="00CB25C7" w:rsidRDefault="00AF2CEB">
      <w:pPr>
        <w:rPr>
          <w:rFonts w:ascii="Arial" w:hAnsi="Arial" w:cs="Arial"/>
        </w:rPr>
      </w:pPr>
    </w:p>
    <w:p w:rsidR="00AF2CEB" w:rsidRPr="00CB25C7" w:rsidRDefault="00AF2CEB">
      <w:pPr>
        <w:rPr>
          <w:rFonts w:ascii="Arial" w:hAnsi="Arial" w:cs="Arial"/>
          <w:b/>
        </w:rPr>
      </w:pPr>
      <w:r w:rsidRPr="00CB25C7">
        <w:rPr>
          <w:rFonts w:ascii="Arial" w:hAnsi="Arial" w:cs="Arial"/>
          <w:b/>
        </w:rPr>
        <w:t>Datenquelle</w:t>
      </w:r>
    </w:p>
    <w:p w:rsidR="00AF2CEB" w:rsidRPr="00CB25C7" w:rsidRDefault="007F5DDE">
      <w:pPr>
        <w:rPr>
          <w:rFonts w:ascii="Arial" w:hAnsi="Arial" w:cs="Arial"/>
        </w:rPr>
      </w:pPr>
      <w:r w:rsidRPr="00CB25C7">
        <w:rPr>
          <w:rFonts w:ascii="Arial" w:hAnsi="Arial" w:cs="Arial"/>
        </w:rPr>
        <w:t>Kassenärztliche Vereinigung Bayern</w:t>
      </w:r>
      <w:r w:rsidR="00CB25C7">
        <w:rPr>
          <w:rFonts w:ascii="Arial" w:hAnsi="Arial" w:cs="Arial"/>
        </w:rPr>
        <w:t>s</w:t>
      </w:r>
      <w:r w:rsidRPr="00CB25C7">
        <w:rPr>
          <w:rFonts w:ascii="Arial" w:hAnsi="Arial" w:cs="Arial"/>
        </w:rPr>
        <w:t xml:space="preserve"> – Abrechnungsdaten</w:t>
      </w:r>
    </w:p>
    <w:p w:rsidR="007F5DDE" w:rsidRPr="00CB25C7" w:rsidRDefault="007F5DDE">
      <w:pPr>
        <w:rPr>
          <w:rFonts w:ascii="Arial" w:hAnsi="Arial" w:cs="Arial"/>
        </w:rPr>
      </w:pPr>
    </w:p>
    <w:p w:rsidR="00AF2CEB" w:rsidRPr="00CB25C7" w:rsidRDefault="00AF2CEB">
      <w:pPr>
        <w:rPr>
          <w:rFonts w:ascii="Arial" w:hAnsi="Arial" w:cs="Arial"/>
        </w:rPr>
      </w:pPr>
      <w:r w:rsidRPr="00CB25C7">
        <w:rPr>
          <w:rFonts w:ascii="Arial" w:hAnsi="Arial" w:cs="Arial"/>
          <w:b/>
        </w:rPr>
        <w:t>Periodizität</w:t>
      </w:r>
    </w:p>
    <w:p w:rsidR="00AF2CEB" w:rsidRPr="00CB25C7" w:rsidRDefault="003741FA">
      <w:pPr>
        <w:rPr>
          <w:rFonts w:ascii="Arial" w:hAnsi="Arial" w:cs="Arial"/>
        </w:rPr>
      </w:pPr>
      <w:r w:rsidRPr="00CB25C7">
        <w:rPr>
          <w:rFonts w:ascii="Arial" w:hAnsi="Arial" w:cs="Arial"/>
        </w:rPr>
        <w:t>Jährlich</w:t>
      </w:r>
    </w:p>
    <w:p w:rsidR="00AF2CEB" w:rsidRPr="00CB25C7" w:rsidRDefault="00AF2CEB">
      <w:pPr>
        <w:rPr>
          <w:rFonts w:ascii="Arial" w:hAnsi="Arial" w:cs="Arial"/>
        </w:rPr>
      </w:pPr>
    </w:p>
    <w:p w:rsidR="00AF2CEB" w:rsidRPr="00CB25C7" w:rsidRDefault="00AF2CEB">
      <w:pPr>
        <w:rPr>
          <w:rFonts w:ascii="Arial" w:hAnsi="Arial" w:cs="Arial"/>
          <w:b/>
        </w:rPr>
      </w:pPr>
      <w:r w:rsidRPr="00CB25C7">
        <w:rPr>
          <w:rFonts w:ascii="Arial" w:hAnsi="Arial" w:cs="Arial"/>
          <w:b/>
        </w:rPr>
        <w:t>Validität</w:t>
      </w:r>
    </w:p>
    <w:p w:rsidR="00CB25C7" w:rsidRPr="001B1644" w:rsidRDefault="00CB25C7" w:rsidP="00CB25C7">
      <w:pPr>
        <w:rPr>
          <w:rFonts w:ascii="Arial" w:hAnsi="Arial" w:cs="Arial"/>
        </w:rPr>
      </w:pPr>
      <w:r w:rsidRPr="001B1644">
        <w:rPr>
          <w:rFonts w:ascii="Arial" w:hAnsi="Arial" w:cs="Arial"/>
        </w:rPr>
        <w:t>Da der Indikator auf den kassenärztlichen Abrechnungsdaten beruht, ist eine Aussage über die Validität nur für die gesetzlich krankenversicherte Bevölkerung möglich. Personen, die privat krankenversichert sind, haben ebenso einen Anspruch auf die Früherkennungsuntersuchung.</w:t>
      </w:r>
    </w:p>
    <w:p w:rsidR="00CB25C7" w:rsidRPr="001B1644" w:rsidRDefault="00CB25C7" w:rsidP="00CB25C7">
      <w:pPr>
        <w:rPr>
          <w:rFonts w:ascii="Arial" w:hAnsi="Arial" w:cs="Arial"/>
        </w:rPr>
      </w:pPr>
      <w:proofErr w:type="spellStart"/>
      <w:r>
        <w:rPr>
          <w:rFonts w:ascii="Arial" w:hAnsi="Arial" w:cs="Arial"/>
        </w:rPr>
        <w:t>Validitätseinschränkungen</w:t>
      </w:r>
      <w:proofErr w:type="spellEnd"/>
      <w:r>
        <w:rPr>
          <w:rFonts w:ascii="Arial" w:hAnsi="Arial" w:cs="Arial"/>
        </w:rPr>
        <w:t xml:space="preserve"> resultieren zudem aus der postleitzahlgestützten Regionalzuordnung und der Notwendigkeit, die GKV- Versicherten auf Kreisebene zu schätzen.</w:t>
      </w:r>
    </w:p>
    <w:p w:rsidR="00CB25C7" w:rsidRDefault="00CB25C7" w:rsidP="00CB25C7">
      <w:pPr>
        <w:rPr>
          <w:rFonts w:ascii="Arial" w:hAnsi="Arial" w:cs="Arial"/>
          <w:b/>
        </w:rPr>
      </w:pPr>
    </w:p>
    <w:p w:rsidR="00CB25C7" w:rsidRPr="001B1644" w:rsidRDefault="00CB25C7" w:rsidP="00CB25C7">
      <w:pPr>
        <w:rPr>
          <w:rFonts w:ascii="Arial" w:hAnsi="Arial" w:cs="Arial"/>
        </w:rPr>
      </w:pPr>
      <w:r w:rsidRPr="001B1644">
        <w:rPr>
          <w:rFonts w:ascii="Arial" w:hAnsi="Arial" w:cs="Arial"/>
        </w:rPr>
        <w:t>Die Anzahl der Patienten/innen ist aufgrund von Versicherungswechslern überschätzt. Des Weiteren üb</w:t>
      </w:r>
      <w:r w:rsidR="000F7FB0">
        <w:rPr>
          <w:rFonts w:ascii="Arial" w:hAnsi="Arial" w:cs="Arial"/>
        </w:rPr>
        <w:t>ersteigt die Anzahl der Patient</w:t>
      </w:r>
      <w:r w:rsidRPr="001B1644">
        <w:rPr>
          <w:rFonts w:ascii="Arial" w:hAnsi="Arial" w:cs="Arial"/>
        </w:rPr>
        <w:t>/innen die stichtagsbezogene Zahl der GKV-Versicherten in Bayern aufgrund von unterjährigen Umzügen nach Bayern bzw. aus Bayern heraus. Um abgesehen von Versicherungswechslern weitere Doppelnennungen zu vermeiden, wurden bei den Patienten/innen das jeweils zuletzt bekannte Alter sowie die zuletzt bekannte Postleitzahl zugrunde gelegt. Es wurden nur Patienten/innen mit bayerischer Postleitzahl (Wohnortprinzip) betrachtet</w:t>
      </w:r>
      <w:r w:rsidR="000F7FB0">
        <w:rPr>
          <w:rFonts w:ascii="Arial" w:hAnsi="Arial" w:cs="Arial"/>
        </w:rPr>
        <w:t>. In der Gesamtzahl der Patient</w:t>
      </w:r>
      <w:r w:rsidRPr="001B1644">
        <w:rPr>
          <w:rFonts w:ascii="Arial" w:hAnsi="Arial" w:cs="Arial"/>
        </w:rPr>
        <w:t>/innen wurden auch Patienten/innen mit fehlender Alters- bzw. Geschlecht</w:t>
      </w:r>
      <w:r w:rsidR="000F7FB0">
        <w:rPr>
          <w:rFonts w:ascii="Arial" w:hAnsi="Arial" w:cs="Arial"/>
        </w:rPr>
        <w:t>s</w:t>
      </w:r>
      <w:bookmarkStart w:id="0" w:name="_GoBack"/>
      <w:bookmarkEnd w:id="0"/>
      <w:r w:rsidRPr="001B1644">
        <w:rPr>
          <w:rFonts w:ascii="Arial" w:hAnsi="Arial" w:cs="Arial"/>
        </w:rPr>
        <w:t>angabe berücksichtigt.</w:t>
      </w:r>
    </w:p>
    <w:p w:rsidR="00AF2CEB" w:rsidRPr="00CB25C7" w:rsidRDefault="00AF2CEB">
      <w:pPr>
        <w:rPr>
          <w:rFonts w:ascii="Arial" w:hAnsi="Arial" w:cs="Arial"/>
        </w:rPr>
      </w:pPr>
    </w:p>
    <w:p w:rsidR="00AF2CEB" w:rsidRPr="00CB25C7" w:rsidRDefault="00AF2CEB">
      <w:pPr>
        <w:rPr>
          <w:rFonts w:ascii="Arial" w:hAnsi="Arial" w:cs="Arial"/>
        </w:rPr>
      </w:pPr>
      <w:r w:rsidRPr="00CB25C7">
        <w:rPr>
          <w:rFonts w:ascii="Arial" w:hAnsi="Arial" w:cs="Arial"/>
          <w:b/>
        </w:rPr>
        <w:t>Vergleichbarkeit</w:t>
      </w:r>
    </w:p>
    <w:p w:rsidR="001C063B" w:rsidRPr="00FD64B5" w:rsidRDefault="003741FA" w:rsidP="001C063B">
      <w:pPr>
        <w:pStyle w:val="Kopfzeile"/>
        <w:rPr>
          <w:rFonts w:ascii="Arial" w:hAnsi="Arial" w:cs="Arial"/>
        </w:rPr>
      </w:pPr>
      <w:r w:rsidRPr="00CB25C7">
        <w:rPr>
          <w:rFonts w:ascii="Arial" w:hAnsi="Arial" w:cs="Arial"/>
        </w:rPr>
        <w:t xml:space="preserve">Es gibt keine entsprechenden WHO-, OECD- und EU-Indikatoren. </w:t>
      </w:r>
      <w:r w:rsidR="001C063B" w:rsidRPr="001C063B">
        <w:rPr>
          <w:rFonts w:ascii="Arial" w:hAnsi="Arial" w:cs="Arial"/>
        </w:rPr>
        <w:t xml:space="preserve"> </w:t>
      </w:r>
      <w:r w:rsidR="001C063B" w:rsidRPr="00FD64B5">
        <w:rPr>
          <w:rFonts w:ascii="Arial" w:hAnsi="Arial" w:cs="Arial"/>
        </w:rPr>
        <w:t>Der Indikator wurde ab dem Datenjahr 20</w:t>
      </w:r>
      <w:r w:rsidR="001C063B">
        <w:rPr>
          <w:rFonts w:ascii="Arial" w:hAnsi="Arial" w:cs="Arial"/>
        </w:rPr>
        <w:t xml:space="preserve">15 </w:t>
      </w:r>
      <w:r w:rsidR="001C063B" w:rsidRPr="00FD64B5">
        <w:rPr>
          <w:rFonts w:ascii="Arial" w:hAnsi="Arial" w:cs="Arial"/>
        </w:rPr>
        <w:t xml:space="preserve">in den bayerischen </w:t>
      </w:r>
      <w:proofErr w:type="spellStart"/>
      <w:r w:rsidR="001C063B" w:rsidRPr="00FD64B5">
        <w:rPr>
          <w:rFonts w:ascii="Arial" w:hAnsi="Arial" w:cs="Arial"/>
        </w:rPr>
        <w:t>Indikatorensatz</w:t>
      </w:r>
      <w:proofErr w:type="spellEnd"/>
      <w:r w:rsidR="001C063B" w:rsidRPr="00FD64B5">
        <w:rPr>
          <w:rFonts w:ascii="Arial" w:hAnsi="Arial" w:cs="Arial"/>
        </w:rPr>
        <w:t xml:space="preserve"> aufgenommen.</w:t>
      </w:r>
    </w:p>
    <w:p w:rsidR="001C063B" w:rsidRDefault="001C063B" w:rsidP="001C063B">
      <w:pPr>
        <w:rPr>
          <w:rFonts w:ascii="Arial" w:hAnsi="Arial" w:cs="Arial"/>
        </w:rPr>
      </w:pPr>
    </w:p>
    <w:p w:rsidR="001C063B" w:rsidRPr="000E1583" w:rsidRDefault="001C063B" w:rsidP="001C063B">
      <w:pPr>
        <w:rPr>
          <w:rFonts w:ascii="Arial" w:hAnsi="Arial" w:cs="Arial"/>
          <w:b/>
        </w:rPr>
      </w:pPr>
      <w:r w:rsidRPr="000E1583">
        <w:rPr>
          <w:rFonts w:ascii="Arial" w:hAnsi="Arial" w:cs="Arial"/>
          <w:b/>
        </w:rPr>
        <w:t>Stand</w:t>
      </w:r>
    </w:p>
    <w:p w:rsidR="001C063B" w:rsidRPr="00FD64B5" w:rsidRDefault="001C063B" w:rsidP="001C063B">
      <w:pPr>
        <w:rPr>
          <w:rFonts w:ascii="Arial" w:hAnsi="Arial" w:cs="Arial"/>
        </w:rPr>
      </w:pPr>
      <w:r>
        <w:rPr>
          <w:rFonts w:ascii="Arial" w:hAnsi="Arial" w:cs="Arial"/>
        </w:rPr>
        <w:t>Mai 2021</w:t>
      </w:r>
    </w:p>
    <w:p w:rsidR="00864C08" w:rsidRPr="00CB25C7" w:rsidRDefault="00864C08" w:rsidP="001C063B">
      <w:pPr>
        <w:pStyle w:val="Kopfzeile"/>
        <w:rPr>
          <w:rFonts w:ascii="Arial" w:hAnsi="Arial" w:cs="Arial"/>
        </w:rPr>
      </w:pPr>
    </w:p>
    <w:p w:rsidR="00AF2CEB" w:rsidRPr="00CB25C7" w:rsidRDefault="00AF2CEB">
      <w:pPr>
        <w:rPr>
          <w:rFonts w:ascii="Arial" w:hAnsi="Arial" w:cs="Arial"/>
        </w:rPr>
      </w:pPr>
    </w:p>
    <w:sectPr w:rsidR="00AF2CEB" w:rsidRPr="00CB25C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7B" w:rsidRDefault="006A217B">
      <w:r>
        <w:separator/>
      </w:r>
    </w:p>
  </w:endnote>
  <w:endnote w:type="continuationSeparator" w:id="0">
    <w:p w:rsidR="006A217B" w:rsidRDefault="006A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3B" w:rsidRDefault="001C06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3B" w:rsidRDefault="001C06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3B" w:rsidRDefault="001C06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7B" w:rsidRDefault="006A217B">
      <w:r>
        <w:separator/>
      </w:r>
    </w:p>
  </w:footnote>
  <w:footnote w:type="continuationSeparator" w:id="0">
    <w:p w:rsidR="006A217B" w:rsidRDefault="006A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3B" w:rsidRDefault="001C06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3B" w:rsidRDefault="001C06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3B" w:rsidRDefault="001C06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023845"/>
    <w:rsid w:val="0005189E"/>
    <w:rsid w:val="0009579C"/>
    <w:rsid w:val="000C101F"/>
    <w:rsid w:val="000E39D3"/>
    <w:rsid w:val="000F7FB0"/>
    <w:rsid w:val="00136E86"/>
    <w:rsid w:val="00192D6F"/>
    <w:rsid w:val="001B133A"/>
    <w:rsid w:val="001B5AD9"/>
    <w:rsid w:val="001C063B"/>
    <w:rsid w:val="00241C70"/>
    <w:rsid w:val="002619A0"/>
    <w:rsid w:val="00292EC0"/>
    <w:rsid w:val="002D188F"/>
    <w:rsid w:val="002D5BBB"/>
    <w:rsid w:val="003741FA"/>
    <w:rsid w:val="0040564E"/>
    <w:rsid w:val="004877D6"/>
    <w:rsid w:val="004B1259"/>
    <w:rsid w:val="006A217B"/>
    <w:rsid w:val="006D06BA"/>
    <w:rsid w:val="007F5DDE"/>
    <w:rsid w:val="00864C08"/>
    <w:rsid w:val="00866C96"/>
    <w:rsid w:val="009240B6"/>
    <w:rsid w:val="009B7DF5"/>
    <w:rsid w:val="00A24201"/>
    <w:rsid w:val="00A4329E"/>
    <w:rsid w:val="00A44C47"/>
    <w:rsid w:val="00A8532A"/>
    <w:rsid w:val="00AF2CEB"/>
    <w:rsid w:val="00B13BEF"/>
    <w:rsid w:val="00B465E2"/>
    <w:rsid w:val="00B5012F"/>
    <w:rsid w:val="00B91CE9"/>
    <w:rsid w:val="00BD312D"/>
    <w:rsid w:val="00C377FF"/>
    <w:rsid w:val="00CB25C7"/>
    <w:rsid w:val="00CE65C9"/>
    <w:rsid w:val="00D509EC"/>
    <w:rsid w:val="00DC5753"/>
    <w:rsid w:val="00DD487D"/>
    <w:rsid w:val="00E532BA"/>
    <w:rsid w:val="00EA3E7D"/>
    <w:rsid w:val="00EB6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69"/>
    <o:shapelayout v:ext="edit">
      <o:idmap v:ext="edit" data="1"/>
    </o:shapelayout>
  </w:shapeDefaults>
  <w:decimalSymbol w:val=","/>
  <w:listSeparator w:val=";"/>
  <w14:docId w14:val="5B270009"/>
  <w15:chartTrackingRefBased/>
  <w15:docId w15:val="{20FC88C8-7C2E-406F-AAC4-EF82A80D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 w:type="character" w:styleId="Hyperlink">
    <w:name w:val="Hyperlink"/>
    <w:basedOn w:val="Absatz-Standardschriftart"/>
    <w:rsid w:val="00CE65C9"/>
    <w:rPr>
      <w:strike w:val="0"/>
      <w:dstrike w:val="0"/>
      <w:color w:val="B1004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964">
      <w:bodyDiv w:val="1"/>
      <w:marLeft w:val="0"/>
      <w:marRight w:val="0"/>
      <w:marTop w:val="0"/>
      <w:marBottom w:val="0"/>
      <w:divBdr>
        <w:top w:val="none" w:sz="0" w:space="0" w:color="auto"/>
        <w:left w:val="none" w:sz="0" w:space="0" w:color="auto"/>
        <w:bottom w:val="none" w:sz="0" w:space="0" w:color="auto"/>
        <w:right w:val="none" w:sz="0" w:space="0" w:color="auto"/>
      </w:divBdr>
      <w:divsChild>
        <w:div w:id="1722628183">
          <w:marLeft w:val="0"/>
          <w:marRight w:val="0"/>
          <w:marTop w:val="0"/>
          <w:marBottom w:val="0"/>
          <w:divBdr>
            <w:top w:val="none" w:sz="0" w:space="0" w:color="auto"/>
            <w:left w:val="none" w:sz="0" w:space="0" w:color="auto"/>
            <w:bottom w:val="none" w:sz="0" w:space="0" w:color="auto"/>
            <w:right w:val="none" w:sz="0" w:space="0" w:color="auto"/>
          </w:divBdr>
          <w:divsChild>
            <w:div w:id="1227497257">
              <w:marLeft w:val="0"/>
              <w:marRight w:val="0"/>
              <w:marTop w:val="0"/>
              <w:marBottom w:val="0"/>
              <w:divBdr>
                <w:top w:val="none" w:sz="0" w:space="0" w:color="auto"/>
                <w:left w:val="none" w:sz="0" w:space="0" w:color="auto"/>
                <w:bottom w:val="none" w:sz="0" w:space="0" w:color="auto"/>
                <w:right w:val="none" w:sz="0" w:space="0" w:color="auto"/>
              </w:divBdr>
              <w:divsChild>
                <w:div w:id="1654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3112">
      <w:bodyDiv w:val="1"/>
      <w:marLeft w:val="0"/>
      <w:marRight w:val="0"/>
      <w:marTop w:val="0"/>
      <w:marBottom w:val="0"/>
      <w:divBdr>
        <w:top w:val="none" w:sz="0" w:space="0" w:color="auto"/>
        <w:left w:val="none" w:sz="0" w:space="0" w:color="auto"/>
        <w:bottom w:val="none" w:sz="0" w:space="0" w:color="auto"/>
        <w:right w:val="none" w:sz="0" w:space="0" w:color="auto"/>
      </w:divBdr>
      <w:divsChild>
        <w:div w:id="1820338726">
          <w:marLeft w:val="0"/>
          <w:marRight w:val="0"/>
          <w:marTop w:val="0"/>
          <w:marBottom w:val="0"/>
          <w:divBdr>
            <w:top w:val="none" w:sz="0" w:space="0" w:color="auto"/>
            <w:left w:val="none" w:sz="0" w:space="0" w:color="auto"/>
            <w:bottom w:val="none" w:sz="0" w:space="0" w:color="auto"/>
            <w:right w:val="none" w:sz="0" w:space="0" w:color="auto"/>
          </w:divBdr>
          <w:divsChild>
            <w:div w:id="165488505">
              <w:marLeft w:val="0"/>
              <w:marRight w:val="0"/>
              <w:marTop w:val="0"/>
              <w:marBottom w:val="0"/>
              <w:divBdr>
                <w:top w:val="none" w:sz="0" w:space="0" w:color="auto"/>
                <w:left w:val="none" w:sz="0" w:space="0" w:color="auto"/>
                <w:bottom w:val="none" w:sz="0" w:space="0" w:color="auto"/>
                <w:right w:val="none" w:sz="0" w:space="0" w:color="auto"/>
              </w:divBdr>
              <w:divsChild>
                <w:div w:id="722683372">
                  <w:marLeft w:val="0"/>
                  <w:marRight w:val="0"/>
                  <w:marTop w:val="0"/>
                  <w:marBottom w:val="0"/>
                  <w:divBdr>
                    <w:top w:val="none" w:sz="0" w:space="0" w:color="auto"/>
                    <w:left w:val="none" w:sz="0" w:space="0" w:color="auto"/>
                    <w:bottom w:val="none" w:sz="0" w:space="0" w:color="auto"/>
                    <w:right w:val="none" w:sz="0" w:space="0" w:color="auto"/>
                  </w:divBdr>
                  <w:divsChild>
                    <w:div w:id="1397123657">
                      <w:marLeft w:val="0"/>
                      <w:marRight w:val="0"/>
                      <w:marTop w:val="0"/>
                      <w:marBottom w:val="0"/>
                      <w:divBdr>
                        <w:top w:val="none" w:sz="0" w:space="0" w:color="auto"/>
                        <w:left w:val="none" w:sz="0" w:space="0" w:color="auto"/>
                        <w:bottom w:val="none" w:sz="0" w:space="0" w:color="auto"/>
                        <w:right w:val="none" w:sz="0" w:space="0" w:color="auto"/>
                      </w:divBdr>
                      <w:divsChild>
                        <w:div w:id="4656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8489">
      <w:bodyDiv w:val="1"/>
      <w:marLeft w:val="0"/>
      <w:marRight w:val="0"/>
      <w:marTop w:val="0"/>
      <w:marBottom w:val="0"/>
      <w:divBdr>
        <w:top w:val="none" w:sz="0" w:space="0" w:color="auto"/>
        <w:left w:val="none" w:sz="0" w:space="0" w:color="auto"/>
        <w:bottom w:val="none" w:sz="0" w:space="0" w:color="auto"/>
        <w:right w:val="none" w:sz="0" w:space="0" w:color="auto"/>
      </w:divBdr>
      <w:divsChild>
        <w:div w:id="722102469">
          <w:marLeft w:val="0"/>
          <w:marRight w:val="0"/>
          <w:marTop w:val="0"/>
          <w:marBottom w:val="0"/>
          <w:divBdr>
            <w:top w:val="none" w:sz="0" w:space="0" w:color="auto"/>
            <w:left w:val="none" w:sz="0" w:space="0" w:color="auto"/>
            <w:bottom w:val="none" w:sz="0" w:space="0" w:color="auto"/>
            <w:right w:val="none" w:sz="0" w:space="0" w:color="auto"/>
          </w:divBdr>
          <w:divsChild>
            <w:div w:id="1664770736">
              <w:marLeft w:val="0"/>
              <w:marRight w:val="0"/>
              <w:marTop w:val="0"/>
              <w:marBottom w:val="0"/>
              <w:divBdr>
                <w:top w:val="none" w:sz="0" w:space="0" w:color="auto"/>
                <w:left w:val="none" w:sz="0" w:space="0" w:color="auto"/>
                <w:bottom w:val="none" w:sz="0" w:space="0" w:color="auto"/>
                <w:right w:val="none" w:sz="0" w:space="0" w:color="auto"/>
              </w:divBdr>
              <w:divsChild>
                <w:div w:id="1080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4101">
      <w:bodyDiv w:val="1"/>
      <w:marLeft w:val="0"/>
      <w:marRight w:val="0"/>
      <w:marTop w:val="0"/>
      <w:marBottom w:val="0"/>
      <w:divBdr>
        <w:top w:val="none" w:sz="0" w:space="0" w:color="auto"/>
        <w:left w:val="none" w:sz="0" w:space="0" w:color="auto"/>
        <w:bottom w:val="none" w:sz="0" w:space="0" w:color="auto"/>
        <w:right w:val="none" w:sz="0" w:space="0" w:color="auto"/>
      </w:divBdr>
      <w:divsChild>
        <w:div w:id="1998797079">
          <w:marLeft w:val="0"/>
          <w:marRight w:val="0"/>
          <w:marTop w:val="0"/>
          <w:marBottom w:val="0"/>
          <w:divBdr>
            <w:top w:val="none" w:sz="0" w:space="0" w:color="auto"/>
            <w:left w:val="none" w:sz="0" w:space="0" w:color="auto"/>
            <w:bottom w:val="none" w:sz="0" w:space="0" w:color="auto"/>
            <w:right w:val="none" w:sz="0" w:space="0" w:color="auto"/>
          </w:divBdr>
          <w:divsChild>
            <w:div w:id="441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630">
      <w:bodyDiv w:val="1"/>
      <w:marLeft w:val="0"/>
      <w:marRight w:val="0"/>
      <w:marTop w:val="0"/>
      <w:marBottom w:val="0"/>
      <w:divBdr>
        <w:top w:val="none" w:sz="0" w:space="0" w:color="auto"/>
        <w:left w:val="none" w:sz="0" w:space="0" w:color="auto"/>
        <w:bottom w:val="none" w:sz="0" w:space="0" w:color="auto"/>
        <w:right w:val="none" w:sz="0" w:space="0" w:color="auto"/>
      </w:divBdr>
      <w:divsChild>
        <w:div w:id="647712915">
          <w:marLeft w:val="0"/>
          <w:marRight w:val="0"/>
          <w:marTop w:val="0"/>
          <w:marBottom w:val="0"/>
          <w:divBdr>
            <w:top w:val="none" w:sz="0" w:space="0" w:color="auto"/>
            <w:left w:val="none" w:sz="0" w:space="0" w:color="auto"/>
            <w:bottom w:val="none" w:sz="0" w:space="0" w:color="auto"/>
            <w:right w:val="none" w:sz="0" w:space="0" w:color="auto"/>
          </w:divBdr>
          <w:divsChild>
            <w:div w:id="1258052148">
              <w:marLeft w:val="0"/>
              <w:marRight w:val="0"/>
              <w:marTop w:val="0"/>
              <w:marBottom w:val="0"/>
              <w:divBdr>
                <w:top w:val="none" w:sz="0" w:space="0" w:color="auto"/>
                <w:left w:val="none" w:sz="0" w:space="0" w:color="auto"/>
                <w:bottom w:val="none" w:sz="0" w:space="0" w:color="auto"/>
                <w:right w:val="none" w:sz="0" w:space="0" w:color="auto"/>
              </w:divBdr>
              <w:divsChild>
                <w:div w:id="625349865">
                  <w:marLeft w:val="0"/>
                  <w:marRight w:val="0"/>
                  <w:marTop w:val="0"/>
                  <w:marBottom w:val="0"/>
                  <w:divBdr>
                    <w:top w:val="none" w:sz="0" w:space="0" w:color="auto"/>
                    <w:left w:val="none" w:sz="0" w:space="0" w:color="auto"/>
                    <w:bottom w:val="none" w:sz="0" w:space="0" w:color="auto"/>
                    <w:right w:val="none" w:sz="0" w:space="0" w:color="auto"/>
                  </w:divBdr>
                  <w:divsChild>
                    <w:div w:id="246157281">
                      <w:marLeft w:val="0"/>
                      <w:marRight w:val="0"/>
                      <w:marTop w:val="0"/>
                      <w:marBottom w:val="0"/>
                      <w:divBdr>
                        <w:top w:val="none" w:sz="0" w:space="0" w:color="auto"/>
                        <w:left w:val="none" w:sz="0" w:space="0" w:color="auto"/>
                        <w:bottom w:val="none" w:sz="0" w:space="0" w:color="auto"/>
                        <w:right w:val="none" w:sz="0" w:space="0" w:color="auto"/>
                      </w:divBdr>
                      <w:divsChild>
                        <w:div w:id="2095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3468">
      <w:bodyDiv w:val="1"/>
      <w:marLeft w:val="0"/>
      <w:marRight w:val="0"/>
      <w:marTop w:val="0"/>
      <w:marBottom w:val="0"/>
      <w:divBdr>
        <w:top w:val="none" w:sz="0" w:space="0" w:color="auto"/>
        <w:left w:val="none" w:sz="0" w:space="0" w:color="auto"/>
        <w:bottom w:val="none" w:sz="0" w:space="0" w:color="auto"/>
        <w:right w:val="none" w:sz="0" w:space="0" w:color="auto"/>
      </w:divBdr>
      <w:divsChild>
        <w:div w:id="676733716">
          <w:marLeft w:val="0"/>
          <w:marRight w:val="0"/>
          <w:marTop w:val="0"/>
          <w:marBottom w:val="0"/>
          <w:divBdr>
            <w:top w:val="none" w:sz="0" w:space="0" w:color="auto"/>
            <w:left w:val="none" w:sz="0" w:space="0" w:color="auto"/>
            <w:bottom w:val="none" w:sz="0" w:space="0" w:color="auto"/>
            <w:right w:val="none" w:sz="0" w:space="0" w:color="auto"/>
          </w:divBdr>
          <w:divsChild>
            <w:div w:id="1059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6</cp:revision>
  <cp:lastPrinted>2003-01-13T09:58:00Z</cp:lastPrinted>
  <dcterms:created xsi:type="dcterms:W3CDTF">2018-10-04T11:13:00Z</dcterms:created>
  <dcterms:modified xsi:type="dcterms:W3CDTF">2021-07-07T08:51:00Z</dcterms:modified>
</cp:coreProperties>
</file>