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95" w:rsidRPr="005311D2" w:rsidRDefault="00E15495">
      <w:pPr>
        <w:rPr>
          <w:rFonts w:ascii="Arial" w:hAnsi="Arial" w:cs="Arial"/>
          <w:b/>
        </w:rPr>
      </w:pPr>
      <w:r w:rsidRPr="005311D2">
        <w:rPr>
          <w:rFonts w:ascii="Arial" w:hAnsi="Arial" w:cs="Arial"/>
          <w:b/>
        </w:rPr>
        <w:t>Indikator 5.13 (B)</w:t>
      </w:r>
    </w:p>
    <w:p w:rsidR="00E15495" w:rsidRPr="005311D2" w:rsidRDefault="00E15495">
      <w:pPr>
        <w:rPr>
          <w:rFonts w:ascii="Arial" w:hAnsi="Arial" w:cs="Arial"/>
          <w:b/>
        </w:rPr>
      </w:pPr>
      <w:r w:rsidRPr="005311D2">
        <w:rPr>
          <w:rFonts w:ascii="Arial" w:hAnsi="Arial" w:cs="Arial"/>
          <w:b/>
        </w:rPr>
        <w:t>Durch meldepflichtige Störfälle und Störungen in verfahrenstechnischen Anlagen verletzte und getötete Pe</w:t>
      </w:r>
      <w:r w:rsidRPr="005311D2">
        <w:rPr>
          <w:rFonts w:ascii="Arial" w:hAnsi="Arial" w:cs="Arial"/>
          <w:b/>
        </w:rPr>
        <w:t>r</w:t>
      </w:r>
      <w:r w:rsidRPr="005311D2">
        <w:rPr>
          <w:rFonts w:ascii="Arial" w:hAnsi="Arial" w:cs="Arial"/>
          <w:b/>
        </w:rPr>
        <w:t>sonen, Deutschland, Jahr</w:t>
      </w:r>
    </w:p>
    <w:p w:rsidR="00E15495" w:rsidRPr="005311D2" w:rsidRDefault="00E15495">
      <w:pPr>
        <w:rPr>
          <w:rFonts w:ascii="Arial" w:hAnsi="Arial" w:cs="Arial"/>
          <w:b/>
        </w:rPr>
      </w:pPr>
    </w:p>
    <w:p w:rsidR="00E15495" w:rsidRPr="005311D2" w:rsidRDefault="00E15495">
      <w:pPr>
        <w:rPr>
          <w:rFonts w:ascii="Arial" w:hAnsi="Arial" w:cs="Arial"/>
          <w:b/>
        </w:rPr>
      </w:pPr>
      <w:r w:rsidRPr="005311D2">
        <w:rPr>
          <w:rFonts w:ascii="Arial" w:hAnsi="Arial" w:cs="Arial"/>
          <w:b/>
        </w:rPr>
        <w:t>Definition</w:t>
      </w:r>
    </w:p>
    <w:p w:rsidR="00EE6BBA" w:rsidRPr="005311D2" w:rsidRDefault="00926F21">
      <w:pPr>
        <w:rPr>
          <w:rFonts w:ascii="Arial" w:hAnsi="Arial" w:cs="Arial"/>
        </w:rPr>
      </w:pPr>
      <w:r w:rsidRPr="005311D2">
        <w:rPr>
          <w:rFonts w:ascii="Arial" w:hAnsi="Arial" w:cs="Arial"/>
        </w:rPr>
        <w:t xml:space="preserve">Betriebe, in denen bestimmte gefährliche Stoffe ab festgelegten Mengenschwellen vorhanden oder vorgesehen sind und Anlagen, bei denen davon auszugehen ist, dass solche Stoffe bei einem außer Kontrolle geratenen industriellen chemischen Verfahren anfallen, unterliegen der europäischen </w:t>
      </w:r>
      <w:hyperlink r:id="rId5" w:tooltip="Richtlinie 2012/18/EU (Seite nicht vorhanden)" w:history="1">
        <w:r w:rsidRPr="005311D2">
          <w:rPr>
            <w:rStyle w:val="Hyperlink"/>
            <w:rFonts w:ascii="Arial" w:hAnsi="Arial" w:cs="Arial"/>
            <w:color w:val="auto"/>
            <w:u w:val="none"/>
            <w:shd w:val="clear" w:color="auto" w:fill="FFFFFF"/>
          </w:rPr>
          <w:t>Richtlinie 2012/18/EU</w:t>
        </w:r>
      </w:hyperlink>
      <w:r w:rsidRPr="005311D2">
        <w:rPr>
          <w:rFonts w:ascii="Arial" w:hAnsi="Arial" w:cs="Arial"/>
        </w:rPr>
        <w:t xml:space="preserve">, </w:t>
      </w:r>
      <w:r w:rsidRPr="005311D2">
        <w:rPr>
          <w:rFonts w:ascii="Arial" w:hAnsi="Arial" w:cs="Arial"/>
          <w:shd w:val="clear" w:color="auto" w:fill="FFFFFF"/>
        </w:rPr>
        <w:t>umgangssprachlich auch Seveso-III-Richtlinie genannt.</w:t>
      </w:r>
      <w:r w:rsidR="00B44A97" w:rsidRPr="005311D2">
        <w:rPr>
          <w:rFonts w:ascii="Arial" w:hAnsi="Arial" w:cs="Arial"/>
          <w:shd w:val="clear" w:color="auto" w:fill="FFFFFF"/>
        </w:rPr>
        <w:t xml:space="preserve"> Sie </w:t>
      </w:r>
      <w:r w:rsidR="00B44A97" w:rsidRPr="005311D2">
        <w:rPr>
          <w:rFonts w:ascii="Arial" w:hAnsi="Arial" w:cs="Arial"/>
        </w:rPr>
        <w:t>löste die beiden Vorgänger-Richtlinien zur Beherrschung der Gefahren bei schweren Unfällen mit gefährlichen Stoffen „Seveso I“ von 1982 und „Seveso II“ (</w:t>
      </w:r>
      <w:r w:rsidR="00B44A97" w:rsidRPr="005311D2">
        <w:rPr>
          <w:rFonts w:ascii="Arial" w:hAnsi="Arial" w:cs="Arial"/>
          <w:bCs/>
        </w:rPr>
        <w:t>96/82/EG) von 1997</w:t>
      </w:r>
      <w:r w:rsidR="00B44A97" w:rsidRPr="005311D2">
        <w:rPr>
          <w:rFonts w:ascii="Arial" w:hAnsi="Arial" w:cs="Arial"/>
        </w:rPr>
        <w:t xml:space="preserve"> ab.</w:t>
      </w:r>
    </w:p>
    <w:p w:rsidR="00E15495" w:rsidRPr="005311D2" w:rsidRDefault="00EE6BBA">
      <w:pPr>
        <w:rPr>
          <w:rFonts w:ascii="Arial" w:hAnsi="Arial" w:cs="Arial"/>
        </w:rPr>
      </w:pPr>
      <w:r w:rsidRPr="005311D2">
        <w:rPr>
          <w:rFonts w:ascii="Arial" w:hAnsi="Arial" w:cs="Arial"/>
        </w:rPr>
        <w:t>In Deutschland wird diese Richtlinie hauptsächlich mit der am 3. Mai 2000 in Kraft getretenen und zuletzt am 19.6.2020 geänderten Zwölften Verordnung zur Durchführung des Bundes</w:t>
      </w:r>
      <w:r w:rsidR="00072D3C" w:rsidRPr="005311D2">
        <w:rPr>
          <w:rFonts w:ascii="Arial" w:hAnsi="Arial" w:cs="Arial"/>
        </w:rPr>
        <w:t>-</w:t>
      </w:r>
      <w:r w:rsidRPr="005311D2">
        <w:rPr>
          <w:rFonts w:ascii="Arial" w:hAnsi="Arial" w:cs="Arial"/>
        </w:rPr>
        <w:t xml:space="preserve">Immissionsschutzgesetzes (Störfall-Verordnung - 12. BImSchV) umgesetzt. Die Verordnung unterscheidet zwischen Anlagen, deren Errichtung und Betrieb keiner Genehmigung bedarf und bei </w:t>
      </w:r>
      <w:r w:rsidR="00B165CC" w:rsidRPr="005311D2">
        <w:rPr>
          <w:rFonts w:ascii="Arial" w:hAnsi="Arial" w:cs="Arial"/>
        </w:rPr>
        <w:t>denen</w:t>
      </w:r>
      <w:r w:rsidRPr="005311D2">
        <w:rPr>
          <w:rFonts w:ascii="Arial" w:hAnsi="Arial" w:cs="Arial"/>
        </w:rPr>
        <w:t xml:space="preserve"> nur schädliche Umwelteinwirkungen zu verhindern bzw. zu mindern sind, sowie Anlagen, deren Errichtung und Betrieb einer Genehmigung bedarf und bei denen auch „sonstige Gefahren“ relevant sind. Sie legt u.a. Pflichten zur Einhaltung des Standes der Sicherheitstechnik, zur Anwendung eines Sicherheitsmanagementsystems einschließlich </w:t>
      </w:r>
      <w:r w:rsidRPr="005311D2">
        <w:rPr>
          <w:rFonts w:ascii="Arial" w:hAnsi="Arial" w:cs="Arial"/>
          <w:shd w:val="clear" w:color="auto" w:fill="FFFFFF"/>
        </w:rPr>
        <w:t xml:space="preserve">der Information der Öffentlichkeit </w:t>
      </w:r>
      <w:r w:rsidRPr="005311D2">
        <w:rPr>
          <w:rFonts w:ascii="Arial" w:hAnsi="Arial" w:cs="Arial"/>
        </w:rPr>
        <w:t>sowie zur Ausarbeitung und Anwendung eines Konzepts zur Verhinderung von Störfällen fest. Für größere Betriebsbereiche gelten sogenannte erweiterte Pflichten; hierzu gehör</w:t>
      </w:r>
      <w:r w:rsidR="00B165CC" w:rsidRPr="005311D2">
        <w:rPr>
          <w:rFonts w:ascii="Arial" w:hAnsi="Arial" w:cs="Arial"/>
        </w:rPr>
        <w:t>en</w:t>
      </w:r>
      <w:r w:rsidRPr="005311D2">
        <w:rPr>
          <w:rFonts w:ascii="Arial" w:hAnsi="Arial" w:cs="Arial"/>
        </w:rPr>
        <w:t xml:space="preserve"> z. B. ein Sicherheitsbericht und Alarm- und Gefahrenabwehrplan.</w:t>
      </w:r>
    </w:p>
    <w:p w:rsidR="003B04A9" w:rsidRPr="005311D2" w:rsidRDefault="00E15495">
      <w:pPr>
        <w:rPr>
          <w:rFonts w:ascii="Arial" w:hAnsi="Arial" w:cs="Arial"/>
        </w:rPr>
      </w:pPr>
      <w:r w:rsidRPr="005311D2">
        <w:rPr>
          <w:rFonts w:ascii="Arial" w:hAnsi="Arial" w:cs="Arial"/>
        </w:rPr>
        <w:t>Die meisten Vorschriften der Störfallverordnung beziehen sich nicht mehr auf Anlagen, sondern auf B</w:t>
      </w:r>
      <w:r w:rsidRPr="005311D2">
        <w:rPr>
          <w:rFonts w:ascii="Arial" w:hAnsi="Arial" w:cs="Arial"/>
        </w:rPr>
        <w:t>e</w:t>
      </w:r>
      <w:r w:rsidRPr="005311D2">
        <w:rPr>
          <w:rFonts w:ascii="Arial" w:hAnsi="Arial" w:cs="Arial"/>
        </w:rPr>
        <w:t xml:space="preserve">triebsbereiche. Ein Betriebsbereich ist die Gesamtheit aller Anlagen </w:t>
      </w:r>
      <w:r w:rsidR="00243751" w:rsidRPr="005311D2">
        <w:rPr>
          <w:rFonts w:ascii="Arial" w:hAnsi="Arial" w:cs="Arial"/>
        </w:rPr>
        <w:t>einer Betreiberin/</w:t>
      </w:r>
      <w:r w:rsidRPr="005311D2">
        <w:rPr>
          <w:rFonts w:ascii="Arial" w:hAnsi="Arial" w:cs="Arial"/>
        </w:rPr>
        <w:t>eines Betreibers innerhalb eines zusamme</w:t>
      </w:r>
      <w:r w:rsidRPr="005311D2">
        <w:rPr>
          <w:rFonts w:ascii="Arial" w:hAnsi="Arial" w:cs="Arial"/>
        </w:rPr>
        <w:t>n</w:t>
      </w:r>
      <w:r w:rsidRPr="005311D2">
        <w:rPr>
          <w:rFonts w:ascii="Arial" w:hAnsi="Arial" w:cs="Arial"/>
        </w:rPr>
        <w:t>hängenden Geländes (z. B. innerhalb eines Industrieparks) einschließlich Labor</w:t>
      </w:r>
      <w:r w:rsidR="004C66E1" w:rsidRPr="005311D2">
        <w:rPr>
          <w:rFonts w:ascii="Arial" w:hAnsi="Arial" w:cs="Arial"/>
        </w:rPr>
        <w:t>e</w:t>
      </w:r>
      <w:r w:rsidRPr="005311D2">
        <w:rPr>
          <w:rFonts w:ascii="Arial" w:hAnsi="Arial" w:cs="Arial"/>
        </w:rPr>
        <w:t>, Technika, Lager, Rohrleitungsne</w:t>
      </w:r>
      <w:r w:rsidRPr="005311D2">
        <w:rPr>
          <w:rFonts w:ascii="Arial" w:hAnsi="Arial" w:cs="Arial"/>
        </w:rPr>
        <w:t>t</w:t>
      </w:r>
      <w:r w:rsidRPr="005311D2">
        <w:rPr>
          <w:rFonts w:ascii="Arial" w:hAnsi="Arial" w:cs="Arial"/>
        </w:rPr>
        <w:t>ze, sofern darin gefährl</w:t>
      </w:r>
      <w:r w:rsidR="00243751" w:rsidRPr="005311D2">
        <w:rPr>
          <w:rFonts w:ascii="Arial" w:hAnsi="Arial" w:cs="Arial"/>
        </w:rPr>
        <w:t>iche Stoffe vorkommen (können).</w:t>
      </w:r>
    </w:p>
    <w:p w:rsidR="00E15495" w:rsidRPr="005311D2" w:rsidRDefault="002B1677">
      <w:pPr>
        <w:rPr>
          <w:rFonts w:ascii="Arial" w:hAnsi="Arial" w:cs="Arial"/>
        </w:rPr>
      </w:pPr>
      <w:proofErr w:type="gramStart"/>
      <w:r w:rsidRPr="005311D2">
        <w:rPr>
          <w:rFonts w:ascii="Arial" w:hAnsi="Arial" w:cs="Arial"/>
        </w:rPr>
        <w:t>Die</w:t>
      </w:r>
      <w:r w:rsidR="00E15495" w:rsidRPr="005311D2">
        <w:rPr>
          <w:rFonts w:ascii="Arial" w:hAnsi="Arial" w:cs="Arial"/>
        </w:rPr>
        <w:t xml:space="preserve"> gefährlichen Stoffen</w:t>
      </w:r>
      <w:proofErr w:type="gramEnd"/>
      <w:r w:rsidR="00E15495" w:rsidRPr="005311D2">
        <w:rPr>
          <w:rFonts w:ascii="Arial" w:hAnsi="Arial" w:cs="Arial"/>
        </w:rPr>
        <w:t xml:space="preserve"> </w:t>
      </w:r>
      <w:r w:rsidRPr="005311D2">
        <w:rPr>
          <w:rFonts w:ascii="Arial" w:hAnsi="Arial" w:cs="Arial"/>
        </w:rPr>
        <w:t>sind in verschiedene Gefahrenk</w:t>
      </w:r>
      <w:r w:rsidR="00E15495" w:rsidRPr="005311D2">
        <w:rPr>
          <w:rFonts w:ascii="Arial" w:hAnsi="Arial" w:cs="Arial"/>
        </w:rPr>
        <w:t xml:space="preserve">ategorien </w:t>
      </w:r>
      <w:r w:rsidRPr="005311D2">
        <w:rPr>
          <w:rFonts w:ascii="Arial" w:hAnsi="Arial" w:cs="Arial"/>
        </w:rPr>
        <w:t>gemäß der Verordnung (EG) Nr. 1272/2008 des europäischen Parlaments und des Rates über die Einstufung, Kennzeichnung und Verpackung von Stoffen und Gemischen</w:t>
      </w:r>
      <w:r w:rsidR="00E15495" w:rsidRPr="005311D2">
        <w:rPr>
          <w:rFonts w:ascii="Arial" w:hAnsi="Arial" w:cs="Arial"/>
        </w:rPr>
        <w:t xml:space="preserve"> im Anhang der Störfall-Verordnung genannt</w:t>
      </w:r>
      <w:r w:rsidRPr="005311D2">
        <w:rPr>
          <w:rFonts w:ascii="Arial" w:hAnsi="Arial" w:cs="Arial"/>
        </w:rPr>
        <w:t>.</w:t>
      </w:r>
    </w:p>
    <w:p w:rsidR="003B04A9" w:rsidRPr="005311D2" w:rsidRDefault="00E15495">
      <w:pPr>
        <w:pStyle w:val="Textkrper"/>
        <w:jc w:val="left"/>
        <w:rPr>
          <w:rFonts w:ascii="Arial" w:hAnsi="Arial" w:cs="Arial"/>
        </w:rPr>
      </w:pPr>
      <w:r w:rsidRPr="005311D2">
        <w:rPr>
          <w:rFonts w:ascii="Arial" w:hAnsi="Arial" w:cs="Arial"/>
        </w:rPr>
        <w:t>Im Jahr 1993 hat die Zentrale Melde- und Auswertestelle für Störfälle und Störungen in verfahrenstechnischen A</w:t>
      </w:r>
      <w:r w:rsidRPr="005311D2">
        <w:rPr>
          <w:rFonts w:ascii="Arial" w:hAnsi="Arial" w:cs="Arial"/>
        </w:rPr>
        <w:t>n</w:t>
      </w:r>
      <w:r w:rsidRPr="005311D2">
        <w:rPr>
          <w:rFonts w:ascii="Arial" w:hAnsi="Arial" w:cs="Arial"/>
        </w:rPr>
        <w:t xml:space="preserve">lagen (ZEMA) im Umweltbundesamt </w:t>
      </w:r>
      <w:r w:rsidR="002B1677" w:rsidRPr="005311D2">
        <w:rPr>
          <w:rFonts w:ascii="Arial" w:hAnsi="Arial" w:cs="Arial"/>
        </w:rPr>
        <w:t xml:space="preserve">(UBA) </w:t>
      </w:r>
      <w:r w:rsidRPr="005311D2">
        <w:rPr>
          <w:rFonts w:ascii="Arial" w:hAnsi="Arial" w:cs="Arial"/>
        </w:rPr>
        <w:t>ihre Arbeit aufgenommen. In der ZEM</w:t>
      </w:r>
      <w:r w:rsidR="00AC7D42" w:rsidRPr="005311D2">
        <w:rPr>
          <w:rFonts w:ascii="Arial" w:hAnsi="Arial" w:cs="Arial"/>
        </w:rPr>
        <w:t>A werden alle nach der Störfall-</w:t>
      </w:r>
      <w:proofErr w:type="gramStart"/>
      <w:r w:rsidRPr="005311D2">
        <w:rPr>
          <w:rFonts w:ascii="Arial" w:hAnsi="Arial" w:cs="Arial"/>
        </w:rPr>
        <w:t>Veror</w:t>
      </w:r>
      <w:r w:rsidRPr="005311D2">
        <w:rPr>
          <w:rFonts w:ascii="Arial" w:hAnsi="Arial" w:cs="Arial"/>
        </w:rPr>
        <w:t>d</w:t>
      </w:r>
      <w:r w:rsidRPr="005311D2">
        <w:rPr>
          <w:rFonts w:ascii="Arial" w:hAnsi="Arial" w:cs="Arial"/>
        </w:rPr>
        <w:t>nung</w:t>
      </w:r>
      <w:r w:rsidR="00243751" w:rsidRPr="005311D2">
        <w:rPr>
          <w:rFonts w:ascii="Arial" w:hAnsi="Arial" w:cs="Arial"/>
        </w:rPr>
        <w:t xml:space="preserve">  meldepflichtigen</w:t>
      </w:r>
      <w:proofErr w:type="gramEnd"/>
      <w:r w:rsidR="00243751" w:rsidRPr="005311D2">
        <w:rPr>
          <w:rFonts w:ascii="Arial" w:hAnsi="Arial" w:cs="Arial"/>
        </w:rPr>
        <w:t xml:space="preserve"> </w:t>
      </w:r>
      <w:r w:rsidRPr="005311D2">
        <w:rPr>
          <w:rFonts w:ascii="Arial" w:hAnsi="Arial" w:cs="Arial"/>
        </w:rPr>
        <w:t>Ereignisse erfasst, ausgewertet und in Jahresberichten veröffentlicht. Die meldepflichtigen Ereignisse werden entsprechend ihrem Gefahrenpotenzial in Störfälle und in Störungen des b</w:t>
      </w:r>
      <w:r w:rsidRPr="005311D2">
        <w:rPr>
          <w:rFonts w:ascii="Arial" w:hAnsi="Arial" w:cs="Arial"/>
        </w:rPr>
        <w:t>e</w:t>
      </w:r>
      <w:r w:rsidRPr="005311D2">
        <w:rPr>
          <w:rFonts w:ascii="Arial" w:hAnsi="Arial" w:cs="Arial"/>
        </w:rPr>
        <w:t>stimmungsgemäßen Betriebs unterteilt. Die systematische Erfassung und Auswertung der Ereignisse soll Erkenn</w:t>
      </w:r>
      <w:r w:rsidRPr="005311D2">
        <w:rPr>
          <w:rFonts w:ascii="Arial" w:hAnsi="Arial" w:cs="Arial"/>
        </w:rPr>
        <w:t>t</w:t>
      </w:r>
      <w:r w:rsidRPr="005311D2">
        <w:rPr>
          <w:rFonts w:ascii="Arial" w:hAnsi="Arial" w:cs="Arial"/>
        </w:rPr>
        <w:t>nisse liefern, die als wichtige Grundlage einer Weiterentwicklung des Standes der Sicherheitstechnik dienen.</w:t>
      </w:r>
    </w:p>
    <w:p w:rsidR="00E15495" w:rsidRPr="005311D2" w:rsidRDefault="00E15495">
      <w:pPr>
        <w:pStyle w:val="Textkrper"/>
        <w:jc w:val="left"/>
        <w:rPr>
          <w:rFonts w:ascii="Arial" w:hAnsi="Arial" w:cs="Arial"/>
        </w:rPr>
      </w:pPr>
      <w:r w:rsidRPr="005311D2">
        <w:rPr>
          <w:rFonts w:ascii="Arial" w:hAnsi="Arial" w:cs="Arial"/>
        </w:rPr>
        <w:t>Zu den Verletzten und Getöteten zählen Beschäftigte der Anlage, Einsatzkräfte (Feuerwehr u. a.) und die Bevölk</w:t>
      </w:r>
      <w:r w:rsidRPr="005311D2">
        <w:rPr>
          <w:rFonts w:ascii="Arial" w:hAnsi="Arial" w:cs="Arial"/>
        </w:rPr>
        <w:t>e</w:t>
      </w:r>
      <w:r w:rsidRPr="005311D2">
        <w:rPr>
          <w:rFonts w:ascii="Arial" w:hAnsi="Arial" w:cs="Arial"/>
        </w:rPr>
        <w:t>rung.</w:t>
      </w:r>
    </w:p>
    <w:p w:rsidR="00E15495" w:rsidRPr="005311D2" w:rsidRDefault="00E15495">
      <w:pPr>
        <w:rPr>
          <w:rFonts w:ascii="Arial" w:hAnsi="Arial" w:cs="Arial"/>
        </w:rPr>
      </w:pPr>
    </w:p>
    <w:p w:rsidR="00E15495" w:rsidRPr="005311D2" w:rsidRDefault="00E15495">
      <w:pPr>
        <w:rPr>
          <w:rFonts w:ascii="Arial" w:hAnsi="Arial" w:cs="Arial"/>
          <w:b/>
        </w:rPr>
      </w:pPr>
      <w:r w:rsidRPr="005311D2">
        <w:rPr>
          <w:rFonts w:ascii="Arial" w:hAnsi="Arial" w:cs="Arial"/>
          <w:b/>
        </w:rPr>
        <w:t>Datenhalter</w:t>
      </w:r>
    </w:p>
    <w:p w:rsidR="00E15495" w:rsidRPr="005311D2" w:rsidRDefault="00E15495" w:rsidP="005D1F05">
      <w:pPr>
        <w:numPr>
          <w:ilvl w:val="0"/>
          <w:numId w:val="2"/>
        </w:numPr>
        <w:tabs>
          <w:tab w:val="left" w:pos="227"/>
        </w:tabs>
        <w:ind w:left="227" w:hanging="227"/>
        <w:rPr>
          <w:rFonts w:ascii="Arial" w:hAnsi="Arial" w:cs="Arial"/>
        </w:rPr>
      </w:pPr>
      <w:r w:rsidRPr="005311D2">
        <w:rPr>
          <w:rFonts w:ascii="Arial" w:hAnsi="Arial" w:cs="Arial"/>
        </w:rPr>
        <w:t>Umweltbundesamt</w:t>
      </w:r>
      <w:r w:rsidR="00243751" w:rsidRPr="005311D2">
        <w:rPr>
          <w:rFonts w:ascii="Arial" w:hAnsi="Arial" w:cs="Arial"/>
        </w:rPr>
        <w:t xml:space="preserve"> (UBA)</w:t>
      </w:r>
      <w:r w:rsidRPr="005311D2">
        <w:rPr>
          <w:rFonts w:ascii="Arial" w:hAnsi="Arial" w:cs="Arial"/>
        </w:rPr>
        <w:t>: Zentrale Melde- und Auswertungsstelle für Störfälle und Störungen in verfahrenstechn</w:t>
      </w:r>
      <w:r w:rsidRPr="005311D2">
        <w:rPr>
          <w:rFonts w:ascii="Arial" w:hAnsi="Arial" w:cs="Arial"/>
        </w:rPr>
        <w:t>i</w:t>
      </w:r>
      <w:r w:rsidRPr="005311D2">
        <w:rPr>
          <w:rFonts w:ascii="Arial" w:hAnsi="Arial" w:cs="Arial"/>
        </w:rPr>
        <w:t>schen Anlagen (ZEMA)</w:t>
      </w:r>
    </w:p>
    <w:p w:rsidR="00EE6BBA" w:rsidRPr="005311D2" w:rsidRDefault="00EE6BBA" w:rsidP="005D1F05">
      <w:pPr>
        <w:numPr>
          <w:ilvl w:val="0"/>
          <w:numId w:val="2"/>
        </w:numPr>
        <w:tabs>
          <w:tab w:val="left" w:pos="227"/>
        </w:tabs>
        <w:ind w:left="227" w:hanging="227"/>
        <w:rPr>
          <w:rFonts w:ascii="Arial" w:hAnsi="Arial" w:cs="Arial"/>
        </w:rPr>
      </w:pPr>
      <w:r w:rsidRPr="005311D2">
        <w:rPr>
          <w:rFonts w:ascii="Arial" w:hAnsi="Arial" w:cs="Arial"/>
        </w:rPr>
        <w:t>Statistisches Bundesamt (</w:t>
      </w:r>
      <w:proofErr w:type="spellStart"/>
      <w:r w:rsidRPr="005311D2">
        <w:rPr>
          <w:rFonts w:ascii="Arial" w:hAnsi="Arial" w:cs="Arial"/>
        </w:rPr>
        <w:t>Destatis</w:t>
      </w:r>
      <w:proofErr w:type="spellEnd"/>
      <w:r w:rsidRPr="005311D2">
        <w:rPr>
          <w:rFonts w:ascii="Arial" w:hAnsi="Arial" w:cs="Arial"/>
        </w:rPr>
        <w:t>)</w:t>
      </w:r>
    </w:p>
    <w:p w:rsidR="00E15495" w:rsidRPr="005311D2" w:rsidRDefault="00E15495">
      <w:pPr>
        <w:rPr>
          <w:rFonts w:ascii="Arial" w:hAnsi="Arial" w:cs="Arial"/>
        </w:rPr>
      </w:pPr>
    </w:p>
    <w:p w:rsidR="00E15495" w:rsidRPr="005311D2" w:rsidRDefault="00E15495">
      <w:pPr>
        <w:rPr>
          <w:rFonts w:ascii="Arial" w:hAnsi="Arial" w:cs="Arial"/>
        </w:rPr>
      </w:pPr>
      <w:r w:rsidRPr="005311D2">
        <w:rPr>
          <w:rFonts w:ascii="Arial" w:hAnsi="Arial" w:cs="Arial"/>
          <w:b/>
        </w:rPr>
        <w:t>Datenquelle</w:t>
      </w:r>
    </w:p>
    <w:p w:rsidR="00E15495" w:rsidRPr="005311D2" w:rsidRDefault="00E15495" w:rsidP="00E86CEC">
      <w:pPr>
        <w:numPr>
          <w:ilvl w:val="0"/>
          <w:numId w:val="4"/>
        </w:numPr>
        <w:tabs>
          <w:tab w:val="left" w:pos="227"/>
        </w:tabs>
        <w:ind w:left="227" w:hanging="227"/>
        <w:rPr>
          <w:rFonts w:ascii="Arial" w:hAnsi="Arial" w:cs="Arial"/>
        </w:rPr>
      </w:pPr>
      <w:r w:rsidRPr="005311D2">
        <w:rPr>
          <w:rFonts w:ascii="Arial" w:hAnsi="Arial" w:cs="Arial"/>
        </w:rPr>
        <w:t>Datenb</w:t>
      </w:r>
      <w:r w:rsidR="00EE6BBA" w:rsidRPr="005311D2">
        <w:rPr>
          <w:rFonts w:ascii="Arial" w:hAnsi="Arial" w:cs="Arial"/>
        </w:rPr>
        <w:t>ank der ZEMA</w:t>
      </w:r>
    </w:p>
    <w:p w:rsidR="00EE6BBA" w:rsidRPr="005311D2" w:rsidRDefault="00EE6BBA" w:rsidP="00E86CEC">
      <w:pPr>
        <w:numPr>
          <w:ilvl w:val="0"/>
          <w:numId w:val="4"/>
        </w:numPr>
        <w:tabs>
          <w:tab w:val="left" w:pos="227"/>
        </w:tabs>
        <w:ind w:left="227" w:hanging="227"/>
        <w:rPr>
          <w:rFonts w:ascii="Arial" w:hAnsi="Arial" w:cs="Arial"/>
        </w:rPr>
      </w:pPr>
      <w:r w:rsidRPr="005311D2">
        <w:rPr>
          <w:rFonts w:ascii="Arial" w:hAnsi="Arial" w:cs="Arial"/>
        </w:rPr>
        <w:t>Fortschreibung des Bevölkerungsstandes</w:t>
      </w:r>
    </w:p>
    <w:p w:rsidR="00E15495" w:rsidRPr="005311D2" w:rsidRDefault="00E15495">
      <w:pPr>
        <w:rPr>
          <w:rFonts w:ascii="Arial" w:hAnsi="Arial" w:cs="Arial"/>
        </w:rPr>
      </w:pPr>
    </w:p>
    <w:p w:rsidR="00E15495" w:rsidRPr="005311D2" w:rsidRDefault="00E15495">
      <w:pPr>
        <w:rPr>
          <w:rFonts w:ascii="Arial" w:hAnsi="Arial" w:cs="Arial"/>
        </w:rPr>
      </w:pPr>
      <w:r w:rsidRPr="005311D2">
        <w:rPr>
          <w:rFonts w:ascii="Arial" w:hAnsi="Arial" w:cs="Arial"/>
          <w:b/>
        </w:rPr>
        <w:t>Periodizität</w:t>
      </w:r>
    </w:p>
    <w:p w:rsidR="00E15495" w:rsidRPr="005311D2" w:rsidRDefault="00E15495">
      <w:pPr>
        <w:rPr>
          <w:rFonts w:ascii="Arial" w:hAnsi="Arial" w:cs="Arial"/>
        </w:rPr>
      </w:pPr>
      <w:r w:rsidRPr="005311D2">
        <w:rPr>
          <w:rFonts w:ascii="Arial" w:hAnsi="Arial" w:cs="Arial"/>
        </w:rPr>
        <w:t>Jährlich</w:t>
      </w:r>
    </w:p>
    <w:p w:rsidR="00E15495" w:rsidRPr="005311D2" w:rsidRDefault="00E15495">
      <w:pPr>
        <w:rPr>
          <w:rFonts w:ascii="Arial" w:hAnsi="Arial" w:cs="Arial"/>
        </w:rPr>
      </w:pPr>
    </w:p>
    <w:p w:rsidR="00E15495" w:rsidRPr="005311D2" w:rsidRDefault="00E15495">
      <w:pPr>
        <w:rPr>
          <w:rFonts w:ascii="Arial" w:hAnsi="Arial" w:cs="Arial"/>
        </w:rPr>
      </w:pPr>
      <w:r w:rsidRPr="005311D2">
        <w:rPr>
          <w:rFonts w:ascii="Arial" w:hAnsi="Arial" w:cs="Arial"/>
          <w:b/>
        </w:rPr>
        <w:t>Validität</w:t>
      </w:r>
    </w:p>
    <w:p w:rsidR="00E15495" w:rsidRPr="005311D2" w:rsidRDefault="00E15495">
      <w:pPr>
        <w:rPr>
          <w:rFonts w:ascii="Arial" w:hAnsi="Arial" w:cs="Arial"/>
        </w:rPr>
      </w:pPr>
      <w:r w:rsidRPr="005311D2">
        <w:rPr>
          <w:rFonts w:ascii="Arial" w:hAnsi="Arial" w:cs="Arial"/>
        </w:rPr>
        <w:t>Alle meldepflichtigen Störfälle und Störungen werden in differenzierter Form erfasst.</w:t>
      </w:r>
    </w:p>
    <w:p w:rsidR="00E15495" w:rsidRPr="005311D2" w:rsidRDefault="00E15495">
      <w:pPr>
        <w:rPr>
          <w:rFonts w:ascii="Arial" w:hAnsi="Arial" w:cs="Arial"/>
        </w:rPr>
      </w:pPr>
    </w:p>
    <w:p w:rsidR="00E15495" w:rsidRPr="005311D2" w:rsidRDefault="00E15495">
      <w:pPr>
        <w:rPr>
          <w:rFonts w:ascii="Arial" w:hAnsi="Arial" w:cs="Arial"/>
          <w:b/>
        </w:rPr>
      </w:pPr>
      <w:r w:rsidRPr="005311D2">
        <w:rPr>
          <w:rFonts w:ascii="Arial" w:hAnsi="Arial" w:cs="Arial"/>
          <w:b/>
        </w:rPr>
        <w:t>Kommentar</w:t>
      </w:r>
    </w:p>
    <w:p w:rsidR="00E15495" w:rsidRPr="005311D2" w:rsidRDefault="00E15495" w:rsidP="00210274">
      <w:pPr>
        <w:rPr>
          <w:rFonts w:ascii="Arial" w:hAnsi="Arial" w:cs="Arial"/>
        </w:rPr>
      </w:pPr>
      <w:r w:rsidRPr="005311D2">
        <w:rPr>
          <w:rFonts w:ascii="Arial" w:hAnsi="Arial" w:cs="Arial"/>
        </w:rPr>
        <w:t xml:space="preserve">Der Indikator wird aufgrund der niedrigen Zahl der Ereignisse als Bundesindikator geführt. </w:t>
      </w:r>
    </w:p>
    <w:p w:rsidR="00E15495" w:rsidRPr="005311D2" w:rsidRDefault="00E15495">
      <w:pPr>
        <w:rPr>
          <w:rFonts w:ascii="Arial" w:hAnsi="Arial" w:cs="Arial"/>
        </w:rPr>
      </w:pPr>
      <w:r w:rsidRPr="005311D2">
        <w:rPr>
          <w:rFonts w:ascii="Arial" w:hAnsi="Arial" w:cs="Arial"/>
        </w:rPr>
        <w:t>Der Indikator zählt zur Gruppe der Gesundheitsd</w:t>
      </w:r>
      <w:r w:rsidRPr="005311D2">
        <w:rPr>
          <w:rFonts w:ascii="Arial" w:hAnsi="Arial" w:cs="Arial"/>
        </w:rPr>
        <w:t>e</w:t>
      </w:r>
      <w:r w:rsidRPr="005311D2">
        <w:rPr>
          <w:rFonts w:ascii="Arial" w:hAnsi="Arial" w:cs="Arial"/>
        </w:rPr>
        <w:t>terminanten.</w:t>
      </w:r>
    </w:p>
    <w:p w:rsidR="00E15495" w:rsidRPr="005311D2" w:rsidRDefault="00E15495">
      <w:pPr>
        <w:rPr>
          <w:rFonts w:ascii="Arial" w:hAnsi="Arial" w:cs="Arial"/>
        </w:rPr>
      </w:pPr>
    </w:p>
    <w:p w:rsidR="00E15495" w:rsidRPr="005311D2" w:rsidRDefault="00E15495">
      <w:pPr>
        <w:rPr>
          <w:rFonts w:ascii="Arial" w:hAnsi="Arial" w:cs="Arial"/>
        </w:rPr>
      </w:pPr>
      <w:r w:rsidRPr="005311D2">
        <w:rPr>
          <w:rFonts w:ascii="Arial" w:hAnsi="Arial" w:cs="Arial"/>
          <w:b/>
        </w:rPr>
        <w:t>Vergleichbarkeit</w:t>
      </w:r>
    </w:p>
    <w:p w:rsidR="001E0E52" w:rsidRPr="005311D2" w:rsidRDefault="00E15495">
      <w:pPr>
        <w:rPr>
          <w:rFonts w:ascii="Arial" w:hAnsi="Arial" w:cs="Arial"/>
        </w:rPr>
      </w:pPr>
      <w:r w:rsidRPr="005311D2">
        <w:rPr>
          <w:rFonts w:ascii="Arial" w:hAnsi="Arial" w:cs="Arial"/>
        </w:rPr>
        <w:t>Es gibt keinen vergleichbaren Indikator im HFA-21-Indikatorensatz der WHO, jedoch vergleichbar mit dem Indik</w:t>
      </w:r>
      <w:r w:rsidRPr="005311D2">
        <w:rPr>
          <w:rFonts w:ascii="Arial" w:hAnsi="Arial" w:cs="Arial"/>
        </w:rPr>
        <w:t>a</w:t>
      </w:r>
      <w:r w:rsidRPr="005311D2">
        <w:rPr>
          <w:rFonts w:ascii="Arial" w:hAnsi="Arial" w:cs="Arial"/>
        </w:rPr>
        <w:t xml:space="preserve">tor: </w:t>
      </w:r>
      <w:r w:rsidRPr="005311D2">
        <w:rPr>
          <w:rFonts w:ascii="Arial" w:hAnsi="Arial" w:cs="Arial"/>
          <w:i/>
        </w:rPr>
        <w:t xml:space="preserve">Chem_E1: </w:t>
      </w:r>
      <w:proofErr w:type="spellStart"/>
      <w:r w:rsidRPr="005311D2">
        <w:rPr>
          <w:rFonts w:ascii="Arial" w:hAnsi="Arial" w:cs="Arial"/>
          <w:i/>
        </w:rPr>
        <w:t>Mortality</w:t>
      </w:r>
      <w:proofErr w:type="spellEnd"/>
      <w:r w:rsidRPr="005311D2">
        <w:rPr>
          <w:rFonts w:ascii="Arial" w:hAnsi="Arial" w:cs="Arial"/>
          <w:i/>
        </w:rPr>
        <w:t xml:space="preserve"> </w:t>
      </w:r>
      <w:proofErr w:type="spellStart"/>
      <w:r w:rsidRPr="005311D2">
        <w:rPr>
          <w:rFonts w:ascii="Arial" w:hAnsi="Arial" w:cs="Arial"/>
          <w:i/>
        </w:rPr>
        <w:t>from</w:t>
      </w:r>
      <w:proofErr w:type="spellEnd"/>
      <w:r w:rsidRPr="005311D2">
        <w:rPr>
          <w:rFonts w:ascii="Arial" w:hAnsi="Arial" w:cs="Arial"/>
          <w:i/>
        </w:rPr>
        <w:t xml:space="preserve"> </w:t>
      </w:r>
      <w:proofErr w:type="spellStart"/>
      <w:r w:rsidRPr="005311D2">
        <w:rPr>
          <w:rFonts w:ascii="Arial" w:hAnsi="Arial" w:cs="Arial"/>
          <w:i/>
        </w:rPr>
        <w:t>chemical</w:t>
      </w:r>
      <w:proofErr w:type="spellEnd"/>
      <w:r w:rsidRPr="005311D2">
        <w:rPr>
          <w:rFonts w:ascii="Arial" w:hAnsi="Arial" w:cs="Arial"/>
          <w:i/>
        </w:rPr>
        <w:t xml:space="preserve"> </w:t>
      </w:r>
      <w:proofErr w:type="spellStart"/>
      <w:r w:rsidRPr="005311D2">
        <w:rPr>
          <w:rFonts w:ascii="Arial" w:hAnsi="Arial" w:cs="Arial"/>
          <w:i/>
        </w:rPr>
        <w:t>accidents</w:t>
      </w:r>
      <w:proofErr w:type="spellEnd"/>
      <w:r w:rsidRPr="005311D2">
        <w:rPr>
          <w:rFonts w:ascii="Arial" w:hAnsi="Arial" w:cs="Arial"/>
        </w:rPr>
        <w:t xml:space="preserve"> des Environmental </w:t>
      </w:r>
      <w:proofErr w:type="spellStart"/>
      <w:r w:rsidRPr="005311D2">
        <w:rPr>
          <w:rFonts w:ascii="Arial" w:hAnsi="Arial" w:cs="Arial"/>
        </w:rPr>
        <w:t>Health</w:t>
      </w:r>
      <w:proofErr w:type="spellEnd"/>
      <w:r w:rsidRPr="005311D2">
        <w:rPr>
          <w:rFonts w:ascii="Arial" w:hAnsi="Arial" w:cs="Arial"/>
        </w:rPr>
        <w:t xml:space="preserve"> </w:t>
      </w:r>
      <w:proofErr w:type="spellStart"/>
      <w:r w:rsidRPr="005311D2">
        <w:rPr>
          <w:rFonts w:ascii="Arial" w:hAnsi="Arial" w:cs="Arial"/>
        </w:rPr>
        <w:t>Indicator</w:t>
      </w:r>
      <w:proofErr w:type="spellEnd"/>
      <w:r w:rsidRPr="005311D2">
        <w:rPr>
          <w:rFonts w:ascii="Arial" w:hAnsi="Arial" w:cs="Arial"/>
        </w:rPr>
        <w:t xml:space="preserve"> Set der WHO.</w:t>
      </w:r>
    </w:p>
    <w:p w:rsidR="001E0E52" w:rsidRPr="005311D2" w:rsidRDefault="00E15495">
      <w:pPr>
        <w:rPr>
          <w:rFonts w:ascii="Arial" w:hAnsi="Arial" w:cs="Arial"/>
        </w:rPr>
      </w:pPr>
      <w:r w:rsidRPr="005311D2">
        <w:rPr>
          <w:rFonts w:ascii="Arial" w:hAnsi="Arial" w:cs="Arial"/>
        </w:rPr>
        <w:t xml:space="preserve">Es gibt keinen vergleichbaren OECD-Indikator. Die EU wird Indikatoren zu </w:t>
      </w:r>
      <w:proofErr w:type="spellStart"/>
      <w:r w:rsidRPr="005311D2">
        <w:rPr>
          <w:rFonts w:ascii="Arial" w:hAnsi="Arial" w:cs="Arial"/>
          <w:i/>
        </w:rPr>
        <w:t>Accidents</w:t>
      </w:r>
      <w:proofErr w:type="spellEnd"/>
      <w:r w:rsidRPr="005311D2">
        <w:rPr>
          <w:rFonts w:ascii="Arial" w:hAnsi="Arial" w:cs="Arial"/>
          <w:i/>
        </w:rPr>
        <w:t xml:space="preserve"> </w:t>
      </w:r>
      <w:proofErr w:type="spellStart"/>
      <w:r w:rsidRPr="005311D2">
        <w:rPr>
          <w:rFonts w:ascii="Arial" w:hAnsi="Arial" w:cs="Arial"/>
          <w:i/>
        </w:rPr>
        <w:t>related</w:t>
      </w:r>
      <w:proofErr w:type="spellEnd"/>
      <w:r w:rsidRPr="005311D2">
        <w:rPr>
          <w:rFonts w:ascii="Arial" w:hAnsi="Arial" w:cs="Arial"/>
          <w:i/>
        </w:rPr>
        <w:t xml:space="preserve"> </w:t>
      </w:r>
      <w:proofErr w:type="spellStart"/>
      <w:r w:rsidRPr="005311D2">
        <w:rPr>
          <w:rFonts w:ascii="Arial" w:hAnsi="Arial" w:cs="Arial"/>
          <w:i/>
        </w:rPr>
        <w:t>to</w:t>
      </w:r>
      <w:proofErr w:type="spellEnd"/>
      <w:r w:rsidRPr="005311D2">
        <w:rPr>
          <w:rFonts w:ascii="Arial" w:hAnsi="Arial" w:cs="Arial"/>
          <w:i/>
        </w:rPr>
        <w:t xml:space="preserve"> </w:t>
      </w:r>
      <w:proofErr w:type="spellStart"/>
      <w:r w:rsidRPr="005311D2">
        <w:rPr>
          <w:rFonts w:ascii="Arial" w:hAnsi="Arial" w:cs="Arial"/>
          <w:i/>
        </w:rPr>
        <w:t>work</w:t>
      </w:r>
      <w:proofErr w:type="spellEnd"/>
      <w:r w:rsidRPr="005311D2">
        <w:rPr>
          <w:rFonts w:ascii="Arial" w:hAnsi="Arial" w:cs="Arial"/>
        </w:rPr>
        <w:t xml:space="preserve"> führen. Aufgrund der Def</w:t>
      </w:r>
      <w:r w:rsidRPr="005311D2">
        <w:rPr>
          <w:rFonts w:ascii="Arial" w:hAnsi="Arial" w:cs="Arial"/>
        </w:rPr>
        <w:t>i</w:t>
      </w:r>
      <w:r w:rsidRPr="005311D2">
        <w:rPr>
          <w:rFonts w:ascii="Arial" w:hAnsi="Arial" w:cs="Arial"/>
        </w:rPr>
        <w:t xml:space="preserve">nitionen (s. o.) besteht </w:t>
      </w:r>
      <w:r w:rsidR="001E0E52" w:rsidRPr="005311D2">
        <w:rPr>
          <w:rFonts w:ascii="Arial" w:hAnsi="Arial" w:cs="Arial"/>
        </w:rPr>
        <w:t xml:space="preserve">ggf. </w:t>
      </w:r>
      <w:r w:rsidRPr="005311D2">
        <w:rPr>
          <w:rFonts w:ascii="Arial" w:hAnsi="Arial" w:cs="Arial"/>
        </w:rPr>
        <w:t>Vergleichbarkeit auf EU-Ebene.</w:t>
      </w:r>
    </w:p>
    <w:p w:rsidR="00E15495" w:rsidRPr="005311D2" w:rsidRDefault="00E15495">
      <w:pPr>
        <w:rPr>
          <w:rFonts w:ascii="Arial" w:hAnsi="Arial" w:cs="Arial"/>
        </w:rPr>
      </w:pPr>
      <w:r w:rsidRPr="005311D2">
        <w:rPr>
          <w:rFonts w:ascii="Arial" w:hAnsi="Arial" w:cs="Arial"/>
        </w:rPr>
        <w:lastRenderedPageBreak/>
        <w:t xml:space="preserve">Im NRW-Indikatorensatz </w:t>
      </w:r>
      <w:r w:rsidR="00243751" w:rsidRPr="005311D2">
        <w:rPr>
          <w:rFonts w:ascii="Arial" w:hAnsi="Arial" w:cs="Arial"/>
        </w:rPr>
        <w:t>der zweiten Fassung des Indikat</w:t>
      </w:r>
      <w:r w:rsidR="00243751" w:rsidRPr="005311D2">
        <w:rPr>
          <w:rFonts w:ascii="Arial" w:hAnsi="Arial" w:cs="Arial"/>
        </w:rPr>
        <w:t>o</w:t>
      </w:r>
      <w:r w:rsidR="00243751" w:rsidRPr="005311D2">
        <w:rPr>
          <w:rFonts w:ascii="Arial" w:hAnsi="Arial" w:cs="Arial"/>
        </w:rPr>
        <w:t xml:space="preserve">rensatzes von 1996 </w:t>
      </w:r>
      <w:r w:rsidRPr="005311D2">
        <w:rPr>
          <w:rFonts w:ascii="Arial" w:hAnsi="Arial" w:cs="Arial"/>
        </w:rPr>
        <w:t>gab es keinen Indikator zu melde</w:t>
      </w:r>
      <w:r w:rsidR="00243751" w:rsidRPr="005311D2">
        <w:rPr>
          <w:rFonts w:ascii="Arial" w:hAnsi="Arial" w:cs="Arial"/>
        </w:rPr>
        <w:t xml:space="preserve">pflichtigen </w:t>
      </w:r>
      <w:r w:rsidRPr="005311D2">
        <w:rPr>
          <w:rFonts w:ascii="Arial" w:hAnsi="Arial" w:cs="Arial"/>
        </w:rPr>
        <w:t>Störfä</w:t>
      </w:r>
      <w:r w:rsidRPr="005311D2">
        <w:rPr>
          <w:rFonts w:ascii="Arial" w:hAnsi="Arial" w:cs="Arial"/>
        </w:rPr>
        <w:t>l</w:t>
      </w:r>
      <w:r w:rsidRPr="005311D2">
        <w:rPr>
          <w:rFonts w:ascii="Arial" w:hAnsi="Arial" w:cs="Arial"/>
        </w:rPr>
        <w:t>len.</w:t>
      </w:r>
    </w:p>
    <w:p w:rsidR="00E15495" w:rsidRPr="005311D2" w:rsidRDefault="00E15495">
      <w:pPr>
        <w:rPr>
          <w:rFonts w:ascii="Arial" w:hAnsi="Arial" w:cs="Arial"/>
        </w:rPr>
      </w:pPr>
    </w:p>
    <w:p w:rsidR="00E15495" w:rsidRPr="005311D2" w:rsidRDefault="00E15495" w:rsidP="001304AF">
      <w:pPr>
        <w:keepNext/>
        <w:rPr>
          <w:rFonts w:ascii="Arial" w:hAnsi="Arial" w:cs="Arial"/>
          <w:b/>
        </w:rPr>
      </w:pPr>
      <w:r w:rsidRPr="005311D2">
        <w:rPr>
          <w:rFonts w:ascii="Arial" w:hAnsi="Arial" w:cs="Arial"/>
          <w:b/>
        </w:rPr>
        <w:t>Originalquellen</w:t>
      </w:r>
    </w:p>
    <w:p w:rsidR="00E15495" w:rsidRPr="005311D2" w:rsidRDefault="00E15495" w:rsidP="005D1F05">
      <w:pPr>
        <w:numPr>
          <w:ilvl w:val="0"/>
          <w:numId w:val="3"/>
        </w:numPr>
        <w:tabs>
          <w:tab w:val="left" w:pos="227"/>
        </w:tabs>
        <w:ind w:left="227" w:hanging="227"/>
        <w:rPr>
          <w:rFonts w:ascii="Arial" w:hAnsi="Arial" w:cs="Arial"/>
        </w:rPr>
      </w:pPr>
      <w:r w:rsidRPr="005311D2">
        <w:rPr>
          <w:rFonts w:ascii="Arial" w:hAnsi="Arial" w:cs="Arial"/>
        </w:rPr>
        <w:t>Umweltbundesamt</w:t>
      </w:r>
      <w:r w:rsidR="001E0E52" w:rsidRPr="005311D2">
        <w:rPr>
          <w:rFonts w:ascii="Arial" w:hAnsi="Arial" w:cs="Arial"/>
        </w:rPr>
        <w:t xml:space="preserve"> (UBA): Zentrale Melde- und Auswertungsstelle für Störfälle und Störungen in verfahrenstechn</w:t>
      </w:r>
      <w:r w:rsidR="001E0E52" w:rsidRPr="005311D2">
        <w:rPr>
          <w:rFonts w:ascii="Arial" w:hAnsi="Arial" w:cs="Arial"/>
        </w:rPr>
        <w:t>i</w:t>
      </w:r>
      <w:r w:rsidR="001E0E52" w:rsidRPr="005311D2">
        <w:rPr>
          <w:rFonts w:ascii="Arial" w:hAnsi="Arial" w:cs="Arial"/>
        </w:rPr>
        <w:t>schen Anlagen (</w:t>
      </w:r>
      <w:r w:rsidRPr="005311D2">
        <w:rPr>
          <w:rFonts w:ascii="Arial" w:hAnsi="Arial" w:cs="Arial"/>
        </w:rPr>
        <w:t>ZEMA</w:t>
      </w:r>
      <w:r w:rsidR="00210274" w:rsidRPr="005311D2">
        <w:rPr>
          <w:rFonts w:ascii="Arial" w:hAnsi="Arial" w:cs="Arial"/>
        </w:rPr>
        <w:t>)</w:t>
      </w:r>
      <w:r w:rsidR="0046367E">
        <w:rPr>
          <w:rFonts w:ascii="Arial" w:hAnsi="Arial" w:cs="Arial"/>
        </w:rPr>
        <w:t xml:space="preserve"> (</w:t>
      </w:r>
      <w:r w:rsidR="0046367E">
        <w:t>www.umw</w:t>
      </w:r>
      <w:r w:rsidR="0046367E">
        <w:t>eltbundesamt.de/zema</w:t>
      </w:r>
      <w:r w:rsidR="0046367E">
        <w:rPr>
          <w:rFonts w:ascii="Arial" w:hAnsi="Arial" w:cs="Arial"/>
        </w:rPr>
        <w:t>)</w:t>
      </w:r>
      <w:r w:rsidRPr="005311D2">
        <w:rPr>
          <w:rFonts w:ascii="Arial" w:hAnsi="Arial" w:cs="Arial"/>
        </w:rPr>
        <w:br/>
        <w:t>Durch meldepflichtige Störfälle und Störungen in verfahrenstechnischen Anlagen verletzte und getötete Personen, Deutschland 2002 ff.</w:t>
      </w:r>
    </w:p>
    <w:p w:rsidR="00210274" w:rsidRPr="005311D2" w:rsidRDefault="001E0E52" w:rsidP="005D1F05">
      <w:pPr>
        <w:numPr>
          <w:ilvl w:val="0"/>
          <w:numId w:val="3"/>
        </w:numPr>
        <w:tabs>
          <w:tab w:val="left" w:pos="227"/>
        </w:tabs>
        <w:ind w:left="227" w:hanging="227"/>
        <w:rPr>
          <w:rFonts w:ascii="Arial" w:hAnsi="Arial" w:cs="Arial"/>
        </w:rPr>
      </w:pPr>
      <w:r w:rsidRPr="005311D2">
        <w:rPr>
          <w:rFonts w:ascii="Arial" w:hAnsi="Arial" w:cs="Arial"/>
        </w:rPr>
        <w:t>Statistisches Bundesamt (</w:t>
      </w:r>
      <w:proofErr w:type="spellStart"/>
      <w:r w:rsidRPr="005311D2">
        <w:rPr>
          <w:rFonts w:ascii="Arial" w:hAnsi="Arial" w:cs="Arial"/>
        </w:rPr>
        <w:t>Destatis</w:t>
      </w:r>
      <w:proofErr w:type="spellEnd"/>
      <w:r w:rsidRPr="005311D2">
        <w:rPr>
          <w:rFonts w:ascii="Arial" w:hAnsi="Arial" w:cs="Arial"/>
        </w:rPr>
        <w:t>)</w:t>
      </w:r>
      <w:r w:rsidR="00210274" w:rsidRPr="005311D2">
        <w:rPr>
          <w:rFonts w:ascii="Arial" w:hAnsi="Arial" w:cs="Arial"/>
        </w:rPr>
        <w:br/>
        <w:t>Fortschreibung des Bevölkerungsstandes</w:t>
      </w:r>
      <w:r w:rsidR="003B04A9" w:rsidRPr="005311D2">
        <w:rPr>
          <w:rFonts w:ascii="Arial" w:hAnsi="Arial" w:cs="Arial"/>
        </w:rPr>
        <w:t xml:space="preserve"> 2002 ff.</w:t>
      </w:r>
    </w:p>
    <w:p w:rsidR="00E15495" w:rsidRPr="005311D2" w:rsidRDefault="00E15495">
      <w:pPr>
        <w:rPr>
          <w:rFonts w:ascii="Arial" w:hAnsi="Arial" w:cs="Arial"/>
        </w:rPr>
      </w:pPr>
    </w:p>
    <w:p w:rsidR="00E15495" w:rsidRPr="005311D2" w:rsidRDefault="00E15495">
      <w:pPr>
        <w:rPr>
          <w:rFonts w:ascii="Arial" w:hAnsi="Arial" w:cs="Arial"/>
          <w:b/>
        </w:rPr>
      </w:pPr>
      <w:r w:rsidRPr="005311D2">
        <w:rPr>
          <w:rFonts w:ascii="Arial" w:hAnsi="Arial" w:cs="Arial"/>
          <w:b/>
        </w:rPr>
        <w:t>Dokumentationsstand:</w:t>
      </w:r>
    </w:p>
    <w:p w:rsidR="00E15495" w:rsidRPr="005311D2" w:rsidRDefault="00210274">
      <w:pPr>
        <w:rPr>
          <w:rFonts w:ascii="Arial" w:hAnsi="Arial" w:cs="Arial"/>
        </w:rPr>
      </w:pPr>
      <w:r w:rsidRPr="005311D2">
        <w:rPr>
          <w:rFonts w:ascii="Arial" w:hAnsi="Arial" w:cs="Arial"/>
        </w:rPr>
        <w:t>21.01.2022</w:t>
      </w:r>
      <w:r w:rsidR="00243751" w:rsidRPr="005311D2">
        <w:rPr>
          <w:rFonts w:ascii="Arial" w:hAnsi="Arial" w:cs="Arial"/>
        </w:rPr>
        <w:t>, LZG.NRW</w:t>
      </w:r>
      <w:bookmarkStart w:id="0" w:name="_GoBack"/>
      <w:bookmarkEnd w:id="0"/>
    </w:p>
    <w:sectPr w:rsidR="00E15495" w:rsidRPr="005311D2" w:rsidSect="001304AF">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EB0"/>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50058"/>
    <w:multiLevelType w:val="hybridMultilevel"/>
    <w:tmpl w:val="C7B60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CF3FD5"/>
    <w:multiLevelType w:val="hybridMultilevel"/>
    <w:tmpl w:val="406A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30241C"/>
    <w:multiLevelType w:val="hybridMultilevel"/>
    <w:tmpl w:val="D8608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8B"/>
    <w:rsid w:val="00072D3C"/>
    <w:rsid w:val="001304AF"/>
    <w:rsid w:val="001E0E52"/>
    <w:rsid w:val="00210274"/>
    <w:rsid w:val="00243751"/>
    <w:rsid w:val="002B1677"/>
    <w:rsid w:val="003B04A9"/>
    <w:rsid w:val="003D0836"/>
    <w:rsid w:val="0046367E"/>
    <w:rsid w:val="004C66E1"/>
    <w:rsid w:val="005270DF"/>
    <w:rsid w:val="005311D2"/>
    <w:rsid w:val="00593808"/>
    <w:rsid w:val="005D1F05"/>
    <w:rsid w:val="006124D9"/>
    <w:rsid w:val="0066608B"/>
    <w:rsid w:val="0077546A"/>
    <w:rsid w:val="008F242E"/>
    <w:rsid w:val="00926F21"/>
    <w:rsid w:val="00A3672E"/>
    <w:rsid w:val="00A406F0"/>
    <w:rsid w:val="00AC7D42"/>
    <w:rsid w:val="00B165CC"/>
    <w:rsid w:val="00B32700"/>
    <w:rsid w:val="00B44A97"/>
    <w:rsid w:val="00C82BCF"/>
    <w:rsid w:val="00CB6EBC"/>
    <w:rsid w:val="00D43049"/>
    <w:rsid w:val="00D50E85"/>
    <w:rsid w:val="00E15495"/>
    <w:rsid w:val="00E42B47"/>
    <w:rsid w:val="00E86CEC"/>
    <w:rsid w:val="00EE6BBA"/>
    <w:rsid w:val="00EF686D"/>
    <w:rsid w:val="00FB7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4CD85"/>
  <w15:chartTrackingRefBased/>
  <w15:docId w15:val="{E02B1CC0-1D41-4BF2-9BA4-D6DD330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E6BBA"/>
    <w:rPr>
      <w:rFonts w:ascii="Segoe UI" w:hAnsi="Segoe UI" w:cs="Segoe UI"/>
      <w:sz w:val="18"/>
      <w:szCs w:val="18"/>
    </w:rPr>
  </w:style>
  <w:style w:type="character" w:customStyle="1" w:styleId="SprechblasentextZchn">
    <w:name w:val="Sprechblasentext Zchn"/>
    <w:link w:val="Sprechblasentext"/>
    <w:uiPriority w:val="99"/>
    <w:semiHidden/>
    <w:rsid w:val="00EE6BBA"/>
    <w:rPr>
      <w:rFonts w:ascii="Segoe UI" w:hAnsi="Segoe UI" w:cs="Segoe UI"/>
      <w:sz w:val="18"/>
      <w:szCs w:val="18"/>
    </w:rPr>
  </w:style>
  <w:style w:type="character" w:styleId="Kommentarzeichen">
    <w:name w:val="annotation reference"/>
    <w:uiPriority w:val="99"/>
    <w:semiHidden/>
    <w:unhideWhenUsed/>
    <w:rsid w:val="001E0E52"/>
    <w:rPr>
      <w:sz w:val="16"/>
      <w:szCs w:val="16"/>
    </w:rPr>
  </w:style>
  <w:style w:type="paragraph" w:styleId="Kommentartext">
    <w:name w:val="annotation text"/>
    <w:basedOn w:val="Standard"/>
    <w:link w:val="KommentartextZchn"/>
    <w:uiPriority w:val="99"/>
    <w:semiHidden/>
    <w:unhideWhenUsed/>
    <w:rsid w:val="001E0E52"/>
  </w:style>
  <w:style w:type="character" w:customStyle="1" w:styleId="KommentartextZchn">
    <w:name w:val="Kommentartext Zchn"/>
    <w:basedOn w:val="Absatz-Standardschriftart"/>
    <w:link w:val="Kommentartext"/>
    <w:uiPriority w:val="99"/>
    <w:semiHidden/>
    <w:rsid w:val="001E0E52"/>
  </w:style>
  <w:style w:type="paragraph" w:styleId="Kommentarthema">
    <w:name w:val="annotation subject"/>
    <w:basedOn w:val="Kommentartext"/>
    <w:next w:val="Kommentartext"/>
    <w:link w:val="KommentarthemaZchn"/>
    <w:uiPriority w:val="99"/>
    <w:semiHidden/>
    <w:unhideWhenUsed/>
    <w:rsid w:val="001E0E52"/>
    <w:rPr>
      <w:b/>
      <w:bCs/>
    </w:rPr>
  </w:style>
  <w:style w:type="character" w:customStyle="1" w:styleId="KommentarthemaZchn">
    <w:name w:val="Kommentarthema Zchn"/>
    <w:link w:val="Kommentarthema"/>
    <w:uiPriority w:val="99"/>
    <w:semiHidden/>
    <w:rsid w:val="001E0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wikipedia.org/w/index.php?title=Richtlinie_2012/18/EU&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4748</CharactersWithSpaces>
  <SharedDoc>false</SharedDoc>
  <HLinks>
    <vt:vector size="6" baseType="variant">
      <vt:variant>
        <vt:i4>5439541</vt:i4>
      </vt:variant>
      <vt:variant>
        <vt:i4>0</vt:i4>
      </vt:variant>
      <vt:variant>
        <vt:i4>0</vt:i4>
      </vt:variant>
      <vt:variant>
        <vt:i4>5</vt:i4>
      </vt:variant>
      <vt:variant>
        <vt:lpwstr>https://de.wikipedia.org/w/index.php?title=Richtlinie_2012/18/EU&amp;action=edit&amp;redlink=1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2006-06-19T09:31:00Z</cp:lastPrinted>
  <dcterms:created xsi:type="dcterms:W3CDTF">2022-02-17T07:43:00Z</dcterms:created>
  <dcterms:modified xsi:type="dcterms:W3CDTF">2022-02-17T07:45:00Z</dcterms:modified>
</cp:coreProperties>
</file>