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F0" w:rsidRPr="007C4F63" w:rsidRDefault="00A54AF0">
      <w:pPr>
        <w:pStyle w:val="berschrift1"/>
        <w:spacing w:before="0" w:after="0"/>
        <w:rPr>
          <w:rFonts w:ascii="Times New Roman" w:hAnsi="Times New Roman"/>
          <w:sz w:val="20"/>
        </w:rPr>
      </w:pPr>
      <w:r w:rsidRPr="007C4F63">
        <w:rPr>
          <w:rFonts w:ascii="Times New Roman" w:hAnsi="Times New Roman"/>
          <w:sz w:val="20"/>
        </w:rPr>
        <w:t>Indikator 3.</w:t>
      </w:r>
      <w:r w:rsidR="00AB31E5">
        <w:rPr>
          <w:rFonts w:ascii="Times New Roman" w:hAnsi="Times New Roman"/>
          <w:sz w:val="20"/>
        </w:rPr>
        <w:t>28A</w:t>
      </w:r>
      <w:r w:rsidRPr="007C4F63">
        <w:rPr>
          <w:rFonts w:ascii="Times New Roman" w:hAnsi="Times New Roman"/>
          <w:sz w:val="20"/>
        </w:rPr>
        <w:t xml:space="preserve"> (L) </w:t>
      </w:r>
    </w:p>
    <w:p w:rsidR="00A54AF0" w:rsidRPr="007C4F63" w:rsidRDefault="00020851">
      <w:pPr>
        <w:pStyle w:val="Textkrper"/>
        <w:rPr>
          <w:b w:val="0"/>
        </w:rPr>
      </w:pPr>
      <w:r w:rsidRPr="007C4F63">
        <w:t xml:space="preserve">Allgemeine </w:t>
      </w:r>
      <w:proofErr w:type="spellStart"/>
      <w:r w:rsidRPr="007C4F63">
        <w:t>Krankenstandskennzahlen</w:t>
      </w:r>
      <w:proofErr w:type="spellEnd"/>
      <w:r w:rsidR="00A54AF0" w:rsidRPr="007C4F63">
        <w:t xml:space="preserve"> </w:t>
      </w:r>
      <w:r w:rsidR="00B2061A" w:rsidRPr="007C4F63">
        <w:t>AOK</w:t>
      </w:r>
      <w:r w:rsidR="002F1308">
        <w:t>/BKK</w:t>
      </w:r>
      <w:bookmarkStart w:id="0" w:name="_GoBack"/>
      <w:bookmarkEnd w:id="0"/>
      <w:r w:rsidR="00B2061A" w:rsidRPr="007C4F63">
        <w:t>-Mitglieder</w:t>
      </w:r>
      <w:r w:rsidR="00A54AF0" w:rsidRPr="007C4F63">
        <w:t>, Land im Regionalvergleich, Jahr</w:t>
      </w:r>
    </w:p>
    <w:p w:rsidR="00A54AF0" w:rsidRPr="007C4F63" w:rsidRDefault="00A54AF0">
      <w:pPr>
        <w:rPr>
          <w:sz w:val="16"/>
        </w:rPr>
      </w:pPr>
    </w:p>
    <w:p w:rsidR="00A54AF0" w:rsidRPr="007C4F63" w:rsidRDefault="00A54AF0">
      <w:pPr>
        <w:rPr>
          <w:b/>
        </w:rPr>
      </w:pPr>
      <w:r w:rsidRPr="007C4F63">
        <w:rPr>
          <w:b/>
        </w:rPr>
        <w:t>Definition</w:t>
      </w:r>
    </w:p>
    <w:p w:rsidR="001F1433" w:rsidRDefault="00320093" w:rsidP="00B839C3">
      <w:pPr>
        <w:autoSpaceDE w:val="0"/>
        <w:autoSpaceDN w:val="0"/>
        <w:adjustRightInd w:val="0"/>
      </w:pPr>
      <w:r w:rsidRPr="007C4F63">
        <w:t xml:space="preserve">Arbeitsunfähigkeit liegt vor, wenn ein(e) Versicherte(r) aus gesundheitlichen Gründen nicht in der Lage ist, ihrer/seiner Erwerbstätigkeit nachzugehen. </w:t>
      </w:r>
    </w:p>
    <w:p w:rsidR="001F1433" w:rsidRDefault="001F1433" w:rsidP="00B839C3">
      <w:pPr>
        <w:autoSpaceDE w:val="0"/>
        <w:autoSpaceDN w:val="0"/>
        <w:adjustRightInd w:val="0"/>
      </w:pPr>
      <w:r>
        <w:t>Der Indikator bildet auf der Basis der Krankmeldungen der AOK</w:t>
      </w:r>
      <w:r w:rsidR="00F37E44">
        <w:t>/BKK</w:t>
      </w:r>
      <w:r>
        <w:t>-Mitglieder folgende Kennziffern der Arbeitsunfähigkeit ab:</w:t>
      </w:r>
    </w:p>
    <w:p w:rsidR="001F1433" w:rsidRDefault="001F1433" w:rsidP="00F40C92">
      <w:pPr>
        <w:numPr>
          <w:ilvl w:val="0"/>
          <w:numId w:val="3"/>
        </w:numPr>
        <w:autoSpaceDE w:val="0"/>
        <w:autoSpaceDN w:val="0"/>
        <w:adjustRightInd w:val="0"/>
      </w:pPr>
      <w:r>
        <w:t>Krankenstand in Prozent</w:t>
      </w:r>
      <w:r w:rsidR="00F37E44">
        <w:t xml:space="preserve"> (AOK/BKK)</w:t>
      </w:r>
      <w:r>
        <w:t>: Anteil der Arbeitsunfähigkeitstage an den Kalendertagen</w:t>
      </w:r>
    </w:p>
    <w:p w:rsidR="001F1433" w:rsidRDefault="001F1433" w:rsidP="00F40C92">
      <w:pPr>
        <w:numPr>
          <w:ilvl w:val="0"/>
          <w:numId w:val="3"/>
        </w:numPr>
        <w:autoSpaceDE w:val="0"/>
        <w:autoSpaceDN w:val="0"/>
        <w:adjustRightInd w:val="0"/>
      </w:pPr>
      <w:r>
        <w:t>Arbeitsunfähigkeitsfälle je 100 AOK-Mitglieder</w:t>
      </w:r>
    </w:p>
    <w:p w:rsidR="001F1433" w:rsidRDefault="001F1433" w:rsidP="00F40C92">
      <w:pPr>
        <w:numPr>
          <w:ilvl w:val="0"/>
          <w:numId w:val="3"/>
        </w:numPr>
        <w:autoSpaceDE w:val="0"/>
        <w:autoSpaceDN w:val="0"/>
        <w:adjustRightInd w:val="0"/>
      </w:pPr>
      <w:r>
        <w:t>Arbeitsunfähigkeitstage je 100 AOK-Mitglieder</w:t>
      </w:r>
    </w:p>
    <w:p w:rsidR="001F1433" w:rsidRDefault="001F1433" w:rsidP="00F40C92">
      <w:pPr>
        <w:numPr>
          <w:ilvl w:val="0"/>
          <w:numId w:val="3"/>
        </w:numPr>
        <w:autoSpaceDE w:val="0"/>
        <w:autoSpaceDN w:val="0"/>
        <w:adjustRightInd w:val="0"/>
      </w:pPr>
      <w:r>
        <w:t>Dauer der Arbeitsunfähigkeit je Fall in Tagen</w:t>
      </w:r>
      <w:r w:rsidR="00F37E44">
        <w:t xml:space="preserve"> (AOK)</w:t>
      </w:r>
    </w:p>
    <w:p w:rsidR="001F1433" w:rsidRDefault="001F1433" w:rsidP="00B839C3">
      <w:pPr>
        <w:autoSpaceDE w:val="0"/>
        <w:autoSpaceDN w:val="0"/>
        <w:adjustRightInd w:val="0"/>
      </w:pPr>
    </w:p>
    <w:p w:rsidR="001F1433" w:rsidRDefault="00320093" w:rsidP="00B839C3">
      <w:pPr>
        <w:autoSpaceDE w:val="0"/>
        <w:autoSpaceDN w:val="0"/>
        <w:adjustRightInd w:val="0"/>
      </w:pPr>
      <w:r w:rsidRPr="007C4F63">
        <w:t>Bei den Auswertungen wurden sowohl Pflicht als auch freiwillig Versicherte berücksichtigt</w:t>
      </w:r>
      <w:r w:rsidR="001F1433">
        <w:t>.</w:t>
      </w:r>
    </w:p>
    <w:p w:rsidR="001F1433" w:rsidRDefault="001F1433" w:rsidP="00B839C3">
      <w:pPr>
        <w:autoSpaceDE w:val="0"/>
        <w:autoSpaceDN w:val="0"/>
        <w:adjustRightInd w:val="0"/>
      </w:pPr>
    </w:p>
    <w:p w:rsidR="003E7AF1" w:rsidRDefault="001F1433" w:rsidP="00B839C3">
      <w:pPr>
        <w:autoSpaceDE w:val="0"/>
        <w:autoSpaceDN w:val="0"/>
        <w:adjustRightInd w:val="0"/>
      </w:pPr>
      <w:r>
        <w:t xml:space="preserve">Bei den </w:t>
      </w:r>
      <w:r w:rsidR="000F3039" w:rsidRPr="00A42DE7">
        <w:t>Arbeitsunfähigkeitsf</w:t>
      </w:r>
      <w:r w:rsidR="003E7AF1" w:rsidRPr="00A42DE7">
        <w:t>älle</w:t>
      </w:r>
      <w:r>
        <w:t xml:space="preserve">n wird jede </w:t>
      </w:r>
      <w:r w:rsidR="003E7AF1" w:rsidRPr="00A42DE7">
        <w:t>AU-Meldung</w:t>
      </w:r>
      <w:r>
        <w:t xml:space="preserve"> gezählt</w:t>
      </w:r>
      <w:r w:rsidR="003E7AF1" w:rsidRPr="00A42DE7">
        <w:t>, mit Ausnahme von Verlängerungen</w:t>
      </w:r>
      <w:r>
        <w:t xml:space="preserve">. </w:t>
      </w:r>
      <w:r w:rsidR="003E7AF1" w:rsidRPr="00A42DE7">
        <w:t>Ein AU-Fall hat einen definierten Anfangs- und Endtermin und kann mehrere Diagnosen umfassen. Im Jahr kann ein Mitglied mehrere AU-Fälle haben.</w:t>
      </w:r>
      <w:r w:rsidR="000F3039" w:rsidRPr="00A42DE7">
        <w:t xml:space="preserve"> </w:t>
      </w:r>
    </w:p>
    <w:p w:rsidR="001F1433" w:rsidRPr="00A42DE7" w:rsidRDefault="001F1433" w:rsidP="00B839C3">
      <w:pPr>
        <w:autoSpaceDE w:val="0"/>
        <w:autoSpaceDN w:val="0"/>
        <w:adjustRightInd w:val="0"/>
        <w:rPr>
          <w:sz w:val="18"/>
          <w:szCs w:val="18"/>
        </w:rPr>
      </w:pPr>
    </w:p>
    <w:p w:rsidR="003E7AF1" w:rsidRDefault="00F97AA5" w:rsidP="00B839C3">
      <w:pPr>
        <w:autoSpaceDE w:val="0"/>
        <w:autoSpaceDN w:val="0"/>
        <w:adjustRightInd w:val="0"/>
      </w:pPr>
      <w:r w:rsidRPr="00A42DE7">
        <w:t>Arbeitsunfähigkeitstage bezeichne</w:t>
      </w:r>
      <w:r w:rsidR="001F1433">
        <w:t>n</w:t>
      </w:r>
      <w:r w:rsidRPr="00A42DE7">
        <w:t xml:space="preserve"> die Anzahl der Arbeitstage, die aufgrund einer krankheitsbedingten Arbeitsunfähigkeit </w:t>
      </w:r>
      <w:r w:rsidR="00307E06" w:rsidRPr="00A42DE7">
        <w:t xml:space="preserve">im Auswertungszeitraum </w:t>
      </w:r>
      <w:r w:rsidRPr="00A42DE7">
        <w:t xml:space="preserve">nicht geleistet werden können. </w:t>
      </w:r>
    </w:p>
    <w:p w:rsidR="001F1433" w:rsidRPr="00A42DE7" w:rsidRDefault="001F1433" w:rsidP="00B839C3">
      <w:pPr>
        <w:autoSpaceDE w:val="0"/>
        <w:autoSpaceDN w:val="0"/>
        <w:adjustRightInd w:val="0"/>
      </w:pPr>
    </w:p>
    <w:p w:rsidR="00307E06" w:rsidRDefault="003E7AF1" w:rsidP="003E7AF1">
      <w:pPr>
        <w:autoSpaceDE w:val="0"/>
        <w:autoSpaceDN w:val="0"/>
        <w:adjustRightInd w:val="0"/>
      </w:pPr>
      <w:r w:rsidRPr="00A42DE7">
        <w:t>Sowohl die AU-Fälle als auch die AU-Tage werden aus Vergleichszwecken auf 100 Versichertenjahre standardi</w:t>
      </w:r>
      <w:r w:rsidR="00AC0DDE" w:rsidRPr="00A42DE7">
        <w:t>siert</w:t>
      </w:r>
      <w:r w:rsidRPr="00A42DE7">
        <w:t>.</w:t>
      </w:r>
      <w:r w:rsidR="00307E06" w:rsidRPr="00A42DE7">
        <w:t xml:space="preserve"> </w:t>
      </w:r>
      <w:r w:rsidR="000F3039" w:rsidRPr="00A42DE7">
        <w:t>Ei</w:t>
      </w:r>
      <w:r w:rsidR="00307E06" w:rsidRPr="00A42DE7">
        <w:t xml:space="preserve">n Versichertenjahr </w:t>
      </w:r>
      <w:r w:rsidR="000F3039" w:rsidRPr="00A42DE7">
        <w:t>kann</w:t>
      </w:r>
      <w:r w:rsidR="00585AD6" w:rsidRPr="00A42DE7">
        <w:t xml:space="preserve"> </w:t>
      </w:r>
      <w:r w:rsidR="00307E06" w:rsidRPr="00A42DE7">
        <w:t>als ein ganz</w:t>
      </w:r>
      <w:r w:rsidR="00A42DE7">
        <w:t>jährig versichertes AOK</w:t>
      </w:r>
      <w:r w:rsidR="00F37E44">
        <w:t>/BKK</w:t>
      </w:r>
      <w:r w:rsidR="00A42DE7">
        <w:t>-Mitglied</w:t>
      </w:r>
      <w:r w:rsidR="00307E06" w:rsidRPr="00A42DE7">
        <w:t xml:space="preserve"> interpretiert </w:t>
      </w:r>
      <w:r w:rsidR="00C1173E" w:rsidRPr="00A42DE7">
        <w:t>werden</w:t>
      </w:r>
      <w:r w:rsidR="00C1173E" w:rsidRPr="000565D0">
        <w:t>.</w:t>
      </w:r>
    </w:p>
    <w:p w:rsidR="00B048DC" w:rsidRDefault="00B048DC" w:rsidP="003E7AF1">
      <w:pPr>
        <w:autoSpaceDE w:val="0"/>
        <w:autoSpaceDN w:val="0"/>
        <w:adjustRightInd w:val="0"/>
      </w:pPr>
    </w:p>
    <w:p w:rsidR="00B048DC" w:rsidRPr="00985440" w:rsidRDefault="00B048DC" w:rsidP="00B048DC">
      <w:pPr>
        <w:autoSpaceDE w:val="0"/>
        <w:autoSpaceDN w:val="0"/>
        <w:adjustRightInd w:val="0"/>
      </w:pPr>
      <w:r w:rsidRPr="00985440">
        <w:t xml:space="preserve">Die regionale Zuordnung der ausgewerteten Arbeitsunfähigkeitsdaten erfolgt nach dem </w:t>
      </w:r>
      <w:r w:rsidR="00130724">
        <w:t>Wohn</w:t>
      </w:r>
      <w:r w:rsidRPr="00985440">
        <w:t>ort der Versicherten.</w:t>
      </w:r>
    </w:p>
    <w:p w:rsidR="00B048DC" w:rsidRPr="000565D0" w:rsidRDefault="00B048DC" w:rsidP="003E7AF1">
      <w:pPr>
        <w:autoSpaceDE w:val="0"/>
        <w:autoSpaceDN w:val="0"/>
        <w:adjustRightInd w:val="0"/>
      </w:pPr>
    </w:p>
    <w:p w:rsidR="00A54AF0" w:rsidRPr="007C4F63" w:rsidRDefault="00A54AF0" w:rsidP="00840CAB">
      <w:pPr>
        <w:autoSpaceDE w:val="0"/>
        <w:autoSpaceDN w:val="0"/>
        <w:adjustRightInd w:val="0"/>
        <w:rPr>
          <w:sz w:val="16"/>
          <w:szCs w:val="16"/>
        </w:rPr>
      </w:pPr>
      <w:r w:rsidRPr="007C4F63">
        <w:rPr>
          <w:b/>
        </w:rPr>
        <w:t>Datenhalter</w:t>
      </w:r>
    </w:p>
    <w:p w:rsidR="00A54AF0" w:rsidRDefault="00D87193">
      <w:r w:rsidRPr="007C4F63">
        <w:t>AOK Bundesverband</w:t>
      </w:r>
      <w:r w:rsidR="00230E32">
        <w:br/>
        <w:t>BKK Dachverband</w:t>
      </w:r>
    </w:p>
    <w:p w:rsidR="00230E32" w:rsidRPr="007C4F63" w:rsidRDefault="00230E32">
      <w:pPr>
        <w:rPr>
          <w:b/>
          <w:sz w:val="16"/>
        </w:rPr>
      </w:pPr>
    </w:p>
    <w:p w:rsidR="00A54AF0" w:rsidRPr="007C4F63" w:rsidRDefault="00A54AF0">
      <w:pPr>
        <w:rPr>
          <w:b/>
        </w:rPr>
      </w:pPr>
      <w:r w:rsidRPr="007C4F63">
        <w:rPr>
          <w:b/>
        </w:rPr>
        <w:t>Datenquelle</w:t>
      </w:r>
    </w:p>
    <w:p w:rsidR="00B839C3" w:rsidRDefault="00B839C3" w:rsidP="00B839C3">
      <w:pPr>
        <w:autoSpaceDE w:val="0"/>
        <w:autoSpaceDN w:val="0"/>
        <w:adjustRightInd w:val="0"/>
      </w:pPr>
      <w:r w:rsidRPr="007C4F63">
        <w:t>AOK-Gesundheitsbericht</w:t>
      </w:r>
      <w:r w:rsidR="00AD193D" w:rsidRPr="007C4F63">
        <w:t xml:space="preserve"> Bayern</w:t>
      </w:r>
      <w:r w:rsidR="00A52CE4">
        <w:t xml:space="preserve">, </w:t>
      </w:r>
      <w:r w:rsidRPr="007C4F63">
        <w:t>Wissenschaftliches Institut der AOK (</w:t>
      </w:r>
      <w:proofErr w:type="spellStart"/>
      <w:r w:rsidRPr="007C4F63">
        <w:t>WIdO</w:t>
      </w:r>
      <w:proofErr w:type="spellEnd"/>
      <w:r w:rsidRPr="007C4F63">
        <w:t>)</w:t>
      </w:r>
    </w:p>
    <w:p w:rsidR="00230E32" w:rsidRPr="007C4F63" w:rsidRDefault="00230E32" w:rsidP="00B839C3">
      <w:pPr>
        <w:autoSpaceDE w:val="0"/>
        <w:autoSpaceDN w:val="0"/>
        <w:adjustRightInd w:val="0"/>
      </w:pPr>
      <w:r>
        <w:t>BKK-Gesundheitsreport Arbeit und Gesundheit Generation 50+, BKK Dachverband e.V.</w:t>
      </w:r>
    </w:p>
    <w:p w:rsidR="00A54AF0" w:rsidRPr="007C4F63" w:rsidRDefault="00A54AF0">
      <w:pPr>
        <w:rPr>
          <w:sz w:val="16"/>
        </w:rPr>
      </w:pPr>
    </w:p>
    <w:p w:rsidR="00A54AF0" w:rsidRPr="007C4F63" w:rsidRDefault="00A54AF0">
      <w:r w:rsidRPr="007C4F63">
        <w:rPr>
          <w:b/>
        </w:rPr>
        <w:t>Periodizität</w:t>
      </w:r>
    </w:p>
    <w:p w:rsidR="00A54AF0" w:rsidRPr="00F40C92" w:rsidRDefault="00A54AF0">
      <w:r w:rsidRPr="007C4F63">
        <w:t>Jährlich</w:t>
      </w:r>
    </w:p>
    <w:p w:rsidR="00A54AF0" w:rsidRPr="007C4F63" w:rsidRDefault="00A54AF0">
      <w:pPr>
        <w:rPr>
          <w:sz w:val="16"/>
        </w:rPr>
      </w:pPr>
    </w:p>
    <w:p w:rsidR="00A54AF0" w:rsidRPr="007C4F63" w:rsidRDefault="00A54AF0">
      <w:pPr>
        <w:rPr>
          <w:b/>
        </w:rPr>
      </w:pPr>
      <w:r w:rsidRPr="007C4F63">
        <w:rPr>
          <w:b/>
        </w:rPr>
        <w:t>Validität</w:t>
      </w:r>
    </w:p>
    <w:p w:rsidR="001F1433" w:rsidRDefault="00C6305B" w:rsidP="00E6405F">
      <w:pPr>
        <w:autoSpaceDE w:val="0"/>
        <w:autoSpaceDN w:val="0"/>
        <w:adjustRightInd w:val="0"/>
      </w:pPr>
      <w:r w:rsidRPr="007C4F63">
        <w:t>Datenbasis</w:t>
      </w:r>
      <w:r w:rsidR="00E47886">
        <w:t xml:space="preserve"> (AOK) </w:t>
      </w:r>
      <w:r w:rsidRPr="007C4F63">
        <w:t>der Auswertungen sind sämtliche</w:t>
      </w:r>
      <w:r w:rsidR="001E18C9" w:rsidRPr="007C4F63">
        <w:t xml:space="preserve"> krankheitsbedingte</w:t>
      </w:r>
      <w:r w:rsidRPr="007C4F63">
        <w:t xml:space="preserve"> Arbeitsunfähigkeitsfälle</w:t>
      </w:r>
      <w:r w:rsidR="001F1433">
        <w:t xml:space="preserve"> von AOK-Mitgliedern. </w:t>
      </w:r>
      <w:r w:rsidR="00E47886" w:rsidRPr="007C4F63">
        <w:t>D</w:t>
      </w:r>
      <w:r w:rsidR="00E47886">
        <w:t xml:space="preserve">atenbasis (BKK) der Auswertungen sind die Versicherten- und dazugehörigen Leistungsdaten der BKK-Versicherten, die nach Vollständigkeits- und Plausibilitätsprüfungen einbezogen werden können. </w:t>
      </w:r>
      <w:r w:rsidR="001F1433">
        <w:t xml:space="preserve">Da die einzelnen Krankenkassen etwas unterschiedliche Versichertenpopulationen haben, sind die Daten nicht ganz repräsentativ für die sozialversicherungspflichtig Beschäftigten. </w:t>
      </w:r>
      <w:r w:rsidR="00B048DC">
        <w:t>Die Daten bilden aber das geografische Muster der Arbeitsunfähigkeit in Bayern relativ zuverlässig ab.</w:t>
      </w:r>
    </w:p>
    <w:p w:rsidR="00B048DC" w:rsidRDefault="00B048DC" w:rsidP="00E6405F">
      <w:pPr>
        <w:autoSpaceDE w:val="0"/>
        <w:autoSpaceDN w:val="0"/>
        <w:adjustRightInd w:val="0"/>
      </w:pPr>
    </w:p>
    <w:p w:rsidR="00B048DC" w:rsidRDefault="00B048DC" w:rsidP="00B048DC">
      <w:pPr>
        <w:autoSpaceDE w:val="0"/>
        <w:autoSpaceDN w:val="0"/>
        <w:adjustRightInd w:val="0"/>
      </w:pPr>
      <w:r w:rsidRPr="00A52CE4">
        <w:t xml:space="preserve">Die Arbeitsunfähigkeitsfälle werden mit Abschluss der Arbeitsunfähigkeit gezählt. Das bedeutet, dass ein Arbeitsunfähigkeitsfall, der sich über die Jahreswende hinaus erstreckt, erst im Folgejahr statistisch berücksichtigt wird. </w:t>
      </w:r>
      <w:r>
        <w:t xml:space="preserve">Nur unvollständig erfasst werden Krankmeldungen </w:t>
      </w:r>
      <w:r w:rsidRPr="00A52CE4">
        <w:t xml:space="preserve">im Rahmen </w:t>
      </w:r>
      <w:r>
        <w:t>der gesetzlichen Karenztage, d.h.</w:t>
      </w:r>
      <w:r w:rsidRPr="00A52CE4">
        <w:t xml:space="preserve"> wenn eine Arbeitnehmerin/ein Arbeitnehmer </w:t>
      </w:r>
      <w:r w:rsidRPr="00D2165E">
        <w:t>nicht mehr als drei Arbeitstage</w:t>
      </w:r>
      <w:r w:rsidRPr="00A52CE4">
        <w:t xml:space="preserve"> in Folge fehlt und dafür auch keine Arbeitsunfähigkeitsbescheinigung beim Arbeitgeber einreicht</w:t>
      </w:r>
      <w:r>
        <w:t xml:space="preserve">. </w:t>
      </w:r>
    </w:p>
    <w:p w:rsidR="001F1433" w:rsidRDefault="001F1433" w:rsidP="00E6405F">
      <w:pPr>
        <w:autoSpaceDE w:val="0"/>
        <w:autoSpaceDN w:val="0"/>
        <w:adjustRightInd w:val="0"/>
      </w:pPr>
    </w:p>
    <w:p w:rsidR="00E6405F" w:rsidRDefault="00F97AA5" w:rsidP="00E6405F">
      <w:pPr>
        <w:autoSpaceDE w:val="0"/>
        <w:autoSpaceDN w:val="0"/>
        <w:adjustRightInd w:val="0"/>
      </w:pPr>
      <w:r w:rsidRPr="000F4E2E">
        <w:t>Unberücksichtigt bleiben die mitversicherten Familienangehörigen, Rentner, Studenten, Jugendlichen und Behinderten, Künstler, Wehr-, Zivil- und Grenzschutzpflichtdienstleistende, landwirtschaftliche Unternehmer sowie Vorruhestandsgeldempfänger, da für diese Gruppen in der Regel keine Arbeitsunfähigkeitsbescheinigungen von einem behandelnden Arzt ausgestellt werden</w:t>
      </w:r>
      <w:r w:rsidRPr="004D4F5B">
        <w:rPr>
          <w:color w:val="00B050"/>
        </w:rPr>
        <w:t>.</w:t>
      </w:r>
      <w:r w:rsidR="00C1173E">
        <w:t xml:space="preserve"> </w:t>
      </w:r>
      <w:r w:rsidR="00E6405F" w:rsidRPr="00985440">
        <w:t xml:space="preserve">Im Zusammenhang mit Schwangerschaften, Kinderkrankengeldfällen auftretende Fehlzeiten </w:t>
      </w:r>
      <w:r w:rsidR="00B048DC">
        <w:t>sind</w:t>
      </w:r>
      <w:r w:rsidR="00E6405F" w:rsidRPr="00985440">
        <w:t xml:space="preserve"> nicht berücksichtigt.</w:t>
      </w:r>
    </w:p>
    <w:p w:rsidR="00336CC0" w:rsidRPr="000B56D6" w:rsidRDefault="00336CC0" w:rsidP="00AD08D1">
      <w:pPr>
        <w:autoSpaceDE w:val="0"/>
        <w:autoSpaceDN w:val="0"/>
        <w:adjustRightInd w:val="0"/>
      </w:pPr>
    </w:p>
    <w:p w:rsidR="00A54AF0" w:rsidRPr="007C4F63" w:rsidRDefault="00A54AF0">
      <w:pPr>
        <w:rPr>
          <w:b/>
        </w:rPr>
      </w:pPr>
      <w:r w:rsidRPr="007C4F63">
        <w:rPr>
          <w:b/>
        </w:rPr>
        <w:t>Kommentar</w:t>
      </w:r>
    </w:p>
    <w:p w:rsidR="00C1173E" w:rsidRDefault="00C1173E" w:rsidP="00C1173E">
      <w:pPr>
        <w:autoSpaceDE w:val="0"/>
        <w:autoSpaceDN w:val="0"/>
        <w:adjustRightInd w:val="0"/>
      </w:pPr>
      <w:r w:rsidRPr="00D2165E">
        <w:t xml:space="preserve">Auswertungen von Daten zur Arbeitsunfähigkeit stellen für die </w:t>
      </w:r>
      <w:r w:rsidR="00B048DC">
        <w:t xml:space="preserve">Beurteilung der Gesundheit der Beschäftigten </w:t>
      </w:r>
      <w:r w:rsidRPr="00D2165E">
        <w:t xml:space="preserve">eine wichtige Informationsbasis dar. Durch den krankheitsbedingten Produktionsausfall </w:t>
      </w:r>
      <w:r w:rsidR="00B048DC">
        <w:t xml:space="preserve">infolge der Arbeitsunfähigkeit sowie die Kosten der </w:t>
      </w:r>
      <w:r w:rsidRPr="00D2165E">
        <w:t>Lohnfortzahlung ist dieser Indikator auch ökonomisch von hoher Bedeutung</w:t>
      </w:r>
      <w:r w:rsidR="00B048DC">
        <w:t xml:space="preserve">. </w:t>
      </w:r>
    </w:p>
    <w:p w:rsidR="00B048DC" w:rsidRPr="00D2165E" w:rsidRDefault="00B048DC" w:rsidP="00C1173E">
      <w:pPr>
        <w:autoSpaceDE w:val="0"/>
        <w:autoSpaceDN w:val="0"/>
        <w:adjustRightInd w:val="0"/>
      </w:pPr>
    </w:p>
    <w:p w:rsidR="00F97AA5" w:rsidRPr="00985440" w:rsidRDefault="00F97AA5" w:rsidP="00F97AA5">
      <w:pPr>
        <w:autoSpaceDE w:val="0"/>
        <w:autoSpaceDN w:val="0"/>
        <w:adjustRightInd w:val="0"/>
      </w:pPr>
      <w:r w:rsidRPr="00985440">
        <w:lastRenderedPageBreak/>
        <w:t>Aus Datenschutzgründen werden Kennzahlwerte nur ausgewiesen, wenn die ausgewertete Gruppe mindestens 10 Personen umfasst. Bei Diagnosen bzw. Arbeitsunfällen müssen min</w:t>
      </w:r>
      <w:r w:rsidR="00E6405F">
        <w:t>destens 10 Fälle vorliegen</w:t>
      </w:r>
      <w:r w:rsidR="00A52CE4" w:rsidRPr="00985440">
        <w:t xml:space="preserve"> (Quelle </w:t>
      </w:r>
      <w:proofErr w:type="spellStart"/>
      <w:r w:rsidR="00A52CE4" w:rsidRPr="00985440">
        <w:t>WIdO</w:t>
      </w:r>
      <w:proofErr w:type="spellEnd"/>
      <w:r w:rsidR="00A52CE4" w:rsidRPr="00985440">
        <w:t>)</w:t>
      </w:r>
      <w:r w:rsidR="00E6405F">
        <w:t>.</w:t>
      </w:r>
    </w:p>
    <w:p w:rsidR="00B048DC" w:rsidRDefault="00B048DC" w:rsidP="00F063BD">
      <w:pPr>
        <w:autoSpaceDE w:val="0"/>
        <w:autoSpaceDN w:val="0"/>
        <w:adjustRightInd w:val="0"/>
        <w:rPr>
          <w:color w:val="000000"/>
        </w:rPr>
      </w:pPr>
    </w:p>
    <w:p w:rsidR="00F063BD" w:rsidRPr="007C4F63" w:rsidRDefault="00F063BD" w:rsidP="00F063BD">
      <w:pPr>
        <w:autoSpaceDE w:val="0"/>
        <w:autoSpaceDN w:val="0"/>
        <w:adjustRightInd w:val="0"/>
        <w:rPr>
          <w:color w:val="000000"/>
        </w:rPr>
      </w:pPr>
      <w:r w:rsidRPr="007C4F63">
        <w:rPr>
          <w:color w:val="000000"/>
        </w:rPr>
        <w:t>Der vorliegende Indikator ist ein Ergebnisindikator.</w:t>
      </w:r>
    </w:p>
    <w:p w:rsidR="00F063BD" w:rsidRPr="007C4F63" w:rsidRDefault="00F063BD" w:rsidP="00F063BD">
      <w:pPr>
        <w:autoSpaceDE w:val="0"/>
        <w:autoSpaceDN w:val="0"/>
        <w:adjustRightInd w:val="0"/>
        <w:rPr>
          <w:sz w:val="16"/>
        </w:rPr>
      </w:pPr>
    </w:p>
    <w:p w:rsidR="00A54AF0" w:rsidRPr="007C4F63" w:rsidRDefault="00A54AF0">
      <w:pPr>
        <w:rPr>
          <w:color w:val="000000"/>
        </w:rPr>
      </w:pPr>
      <w:r w:rsidRPr="007C4F63">
        <w:rPr>
          <w:b/>
          <w:color w:val="000000"/>
        </w:rPr>
        <w:t>Vergleichbarkeit</w:t>
      </w:r>
    </w:p>
    <w:p w:rsidR="002D4494" w:rsidRDefault="00F97AA5">
      <w:r w:rsidRPr="00C34E2E">
        <w:t xml:space="preserve">Der Indikator ist mit dem WHO-Indikator </w:t>
      </w:r>
      <w:r w:rsidR="00AD08D1" w:rsidRPr="00C34E2E">
        <w:t>E</w:t>
      </w:r>
      <w:r w:rsidRPr="00C34E2E">
        <w:t xml:space="preserve">040102 </w:t>
      </w:r>
      <w:proofErr w:type="spellStart"/>
      <w:r w:rsidRPr="00C34E2E">
        <w:t>Absenteeism</w:t>
      </w:r>
      <w:proofErr w:type="spellEnd"/>
      <w:r w:rsidRPr="00C34E2E">
        <w:t xml:space="preserve"> </w:t>
      </w:r>
      <w:proofErr w:type="spellStart"/>
      <w:r w:rsidRPr="00C34E2E">
        <w:t>from</w:t>
      </w:r>
      <w:proofErr w:type="spellEnd"/>
      <w:r w:rsidRPr="00C34E2E">
        <w:t xml:space="preserve"> </w:t>
      </w:r>
      <w:proofErr w:type="spellStart"/>
      <w:r w:rsidRPr="00C34E2E">
        <w:t>work</w:t>
      </w:r>
      <w:proofErr w:type="spellEnd"/>
      <w:r w:rsidRPr="00C34E2E">
        <w:t xml:space="preserve"> due </w:t>
      </w:r>
      <w:proofErr w:type="spellStart"/>
      <w:r w:rsidRPr="00C34E2E">
        <w:t>to</w:t>
      </w:r>
      <w:proofErr w:type="spellEnd"/>
      <w:r w:rsidRPr="00C34E2E">
        <w:t xml:space="preserve"> </w:t>
      </w:r>
      <w:proofErr w:type="spellStart"/>
      <w:r w:rsidRPr="00C34E2E">
        <w:t>illness</w:t>
      </w:r>
      <w:proofErr w:type="spellEnd"/>
      <w:r w:rsidRPr="00C34E2E">
        <w:t xml:space="preserve">, </w:t>
      </w:r>
      <w:proofErr w:type="spellStart"/>
      <w:r w:rsidRPr="00C34E2E">
        <w:t>days</w:t>
      </w:r>
      <w:proofErr w:type="spellEnd"/>
      <w:r w:rsidRPr="00C34E2E">
        <w:t xml:space="preserve"> per </w:t>
      </w:r>
      <w:proofErr w:type="spellStart"/>
      <w:r w:rsidRPr="00C34E2E">
        <w:t>employee</w:t>
      </w:r>
      <w:proofErr w:type="spellEnd"/>
      <w:r w:rsidRPr="00C34E2E">
        <w:t xml:space="preserve"> per </w:t>
      </w:r>
      <w:proofErr w:type="spellStart"/>
      <w:r w:rsidRPr="00C34E2E">
        <w:t>year</w:t>
      </w:r>
      <w:proofErr w:type="spellEnd"/>
      <w:r w:rsidR="00C34E2E">
        <w:t xml:space="preserve"> bezüglich des Krankenstandes bzw. der AU-Tage vergleichbar. Sowohl durch die Multiplikation des Krankenstandes mit der Anzahl der Tage im Berichtsjahr (365 bzw. 366 in Schaltjahren), als auch durch die </w:t>
      </w:r>
      <w:r w:rsidR="002D4494">
        <w:t>Division</w:t>
      </w:r>
      <w:r w:rsidR="00C34E2E">
        <w:t xml:space="preserve"> der AU-Tage je 100 Versichertenjahre durch 100 kommt man auf die im WHO-Indikator angegebenen dur</w:t>
      </w:r>
      <w:r w:rsidR="002D4494">
        <w:t>ch</w:t>
      </w:r>
      <w:r w:rsidR="00C34E2E">
        <w:t xml:space="preserve">schnittlichen AU-Tage. Vergleiche </w:t>
      </w:r>
      <w:r w:rsidR="002D4494">
        <w:t xml:space="preserve">bzgl. </w:t>
      </w:r>
      <w:r w:rsidR="00C34E2E">
        <w:t>der AU-Fälle sind mit dem WHO-Indikator nicht möglich.</w:t>
      </w:r>
    </w:p>
    <w:p w:rsidR="006C5566" w:rsidRDefault="00336CC0">
      <w:r>
        <w:t>M</w:t>
      </w:r>
      <w:r w:rsidR="00F97AA5" w:rsidRPr="002D4494">
        <w:t xml:space="preserve">it dem OECD-Indikator </w:t>
      </w:r>
      <w:proofErr w:type="spellStart"/>
      <w:r w:rsidR="00F97AA5" w:rsidRPr="002D4494">
        <w:t>Sickness</w:t>
      </w:r>
      <w:proofErr w:type="spellEnd"/>
      <w:r w:rsidR="00F97AA5" w:rsidRPr="002D4494">
        <w:t xml:space="preserve"> </w:t>
      </w:r>
      <w:proofErr w:type="spellStart"/>
      <w:r w:rsidR="00F97AA5" w:rsidRPr="002D4494">
        <w:t>benefits</w:t>
      </w:r>
      <w:proofErr w:type="spellEnd"/>
      <w:r w:rsidR="00F97AA5" w:rsidRPr="002D4494">
        <w:t xml:space="preserve"> </w:t>
      </w:r>
      <w:r>
        <w:t>ist dieser Indikator</w:t>
      </w:r>
      <w:r w:rsidR="002D4494" w:rsidRPr="002D4494">
        <w:t xml:space="preserve"> </w:t>
      </w:r>
      <w:r w:rsidR="00F97AA5" w:rsidRPr="002D4494">
        <w:t xml:space="preserve">nicht direkt vergleichbar. </w:t>
      </w:r>
      <w:r w:rsidR="00F97AA5" w:rsidRPr="006C5566">
        <w:t>Im EU-</w:t>
      </w:r>
      <w:proofErr w:type="spellStart"/>
      <w:r w:rsidR="00F97AA5" w:rsidRPr="006C5566">
        <w:t>Indikatorensatz</w:t>
      </w:r>
      <w:proofErr w:type="spellEnd"/>
      <w:r w:rsidR="00F97AA5" w:rsidRPr="006C5566">
        <w:t xml:space="preserve"> werden Indikatoren zu </w:t>
      </w:r>
      <w:proofErr w:type="spellStart"/>
      <w:r w:rsidR="00F97AA5" w:rsidRPr="006C5566">
        <w:t>Absenteeism</w:t>
      </w:r>
      <w:proofErr w:type="spellEnd"/>
      <w:r w:rsidR="00F97AA5" w:rsidRPr="006C5566">
        <w:t xml:space="preserve"> </w:t>
      </w:r>
      <w:proofErr w:type="spellStart"/>
      <w:r w:rsidR="00F97AA5" w:rsidRPr="006C5566">
        <w:t>from</w:t>
      </w:r>
      <w:proofErr w:type="spellEnd"/>
      <w:r w:rsidR="00F97AA5" w:rsidRPr="006C5566">
        <w:t xml:space="preserve"> </w:t>
      </w:r>
      <w:proofErr w:type="spellStart"/>
      <w:r w:rsidR="00F97AA5" w:rsidRPr="006C5566">
        <w:t>work</w:t>
      </w:r>
      <w:proofErr w:type="spellEnd"/>
      <w:r w:rsidR="00F97AA5" w:rsidRPr="006C5566">
        <w:t xml:space="preserve"> geführt. Im bisherigen </w:t>
      </w:r>
      <w:proofErr w:type="spellStart"/>
      <w:r w:rsidR="00F97AA5" w:rsidRPr="006C5566">
        <w:t>Indikatorensatz</w:t>
      </w:r>
      <w:proofErr w:type="spellEnd"/>
      <w:r w:rsidR="00F97AA5" w:rsidRPr="006C5566">
        <w:t xml:space="preserve"> gab es keinen vergleichbaren Indikator.</w:t>
      </w:r>
      <w:r w:rsidR="006C5566">
        <w:t xml:space="preserve"> Der Indikator 3.28 im </w:t>
      </w:r>
      <w:proofErr w:type="spellStart"/>
      <w:r w:rsidR="006C5566">
        <w:t>Indikatorensatz</w:t>
      </w:r>
      <w:proofErr w:type="spellEnd"/>
      <w:r w:rsidR="006C5566">
        <w:t xml:space="preserve"> der Gesundheitsberichterstattung der Länder (AOLG) ist vergleichbar mit diesem Indikator. Er gibt ebenso wie</w:t>
      </w:r>
      <w:r>
        <w:t xml:space="preserve"> </w:t>
      </w:r>
      <w:r w:rsidR="006C5566">
        <w:t>der WHO-Indikator die durchschnittlichen AU-Tage je Mitglied der geset</w:t>
      </w:r>
      <w:r w:rsidR="00BF588B">
        <w:t>zlichen Krankenversicherungen sowie den Krankenstand an.</w:t>
      </w:r>
    </w:p>
    <w:p w:rsidR="000B56D6" w:rsidRPr="006C5566" w:rsidRDefault="000B56D6"/>
    <w:p w:rsidR="00A54AF0" w:rsidRPr="007C4F63" w:rsidRDefault="00A54AF0">
      <w:pPr>
        <w:rPr>
          <w:b/>
        </w:rPr>
      </w:pPr>
      <w:r w:rsidRPr="007C4F63">
        <w:rPr>
          <w:b/>
        </w:rPr>
        <w:t>Originalquellen</w:t>
      </w:r>
    </w:p>
    <w:p w:rsidR="00A54AF0" w:rsidRDefault="000B56D6" w:rsidP="00E47886">
      <w:pPr>
        <w:autoSpaceDE w:val="0"/>
        <w:autoSpaceDN w:val="0"/>
        <w:adjustRightInd w:val="0"/>
      </w:pPr>
      <w:r w:rsidRPr="007C4F63">
        <w:t>AOK-Gesundheitsbericht Bayern</w:t>
      </w:r>
      <w:r>
        <w:t xml:space="preserve">, </w:t>
      </w:r>
      <w:r w:rsidRPr="007C4F63">
        <w:t>Wissenschaftliches Institut der AOK (</w:t>
      </w:r>
      <w:proofErr w:type="spellStart"/>
      <w:r w:rsidRPr="007C4F63">
        <w:t>WIdO</w:t>
      </w:r>
      <w:proofErr w:type="spellEnd"/>
      <w:r w:rsidRPr="007C4F63">
        <w:t>)</w:t>
      </w:r>
    </w:p>
    <w:p w:rsidR="00E47886" w:rsidRDefault="00E47886" w:rsidP="00E47886">
      <w:pPr>
        <w:autoSpaceDE w:val="0"/>
        <w:autoSpaceDN w:val="0"/>
        <w:adjustRightInd w:val="0"/>
      </w:pPr>
      <w:r>
        <w:t>BKK</w:t>
      </w:r>
      <w:r w:rsidRPr="007C4F63">
        <w:t>-</w:t>
      </w:r>
      <w:r>
        <w:t>Gesundheitsreport Arbeit und Gesundheit Generation 50+, BKK Dachverband e.V.</w:t>
      </w:r>
    </w:p>
    <w:p w:rsidR="00E47886" w:rsidRPr="000B56D6" w:rsidRDefault="00E47886" w:rsidP="00E47886">
      <w:pPr>
        <w:autoSpaceDE w:val="0"/>
        <w:autoSpaceDN w:val="0"/>
        <w:adjustRightInd w:val="0"/>
        <w:rPr>
          <w:sz w:val="18"/>
        </w:rPr>
      </w:pPr>
    </w:p>
    <w:p w:rsidR="00A52CE4" w:rsidRDefault="004E66F6">
      <w:pPr>
        <w:rPr>
          <w:b/>
        </w:rPr>
      </w:pPr>
      <w:r w:rsidRPr="00A52CE4">
        <w:rPr>
          <w:b/>
        </w:rPr>
        <w:t>Dokumentationss</w:t>
      </w:r>
      <w:r w:rsidR="00A54AF0" w:rsidRPr="00A52CE4">
        <w:rPr>
          <w:b/>
        </w:rPr>
        <w:t>tand</w:t>
      </w:r>
    </w:p>
    <w:p w:rsidR="00A54AF0" w:rsidRPr="00396C6E" w:rsidRDefault="00E47886">
      <w:pPr>
        <w:rPr>
          <w:sz w:val="18"/>
          <w:szCs w:val="18"/>
        </w:rPr>
      </w:pPr>
      <w:r>
        <w:rPr>
          <w:sz w:val="18"/>
          <w:szCs w:val="18"/>
        </w:rPr>
        <w:t>November 2019</w:t>
      </w:r>
    </w:p>
    <w:p w:rsidR="00EF0563" w:rsidRDefault="00EF0563" w:rsidP="00EF0563">
      <w:pPr>
        <w:rPr>
          <w:b/>
          <w:sz w:val="16"/>
          <w:lang w:val="en-US"/>
        </w:rPr>
      </w:pPr>
    </w:p>
    <w:sectPr w:rsidR="00EF0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41" w:rsidRDefault="008B5841">
      <w:r>
        <w:separator/>
      </w:r>
    </w:p>
  </w:endnote>
  <w:endnote w:type="continuationSeparator" w:id="0">
    <w:p w:rsidR="008B5841" w:rsidRDefault="008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41" w:rsidRDefault="008B5841">
      <w:r>
        <w:separator/>
      </w:r>
    </w:p>
  </w:footnote>
  <w:footnote w:type="continuationSeparator" w:id="0">
    <w:p w:rsidR="008B5841" w:rsidRDefault="008B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72" w:rsidRDefault="008325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253804"/>
    <w:multiLevelType w:val="hybridMultilevel"/>
    <w:tmpl w:val="3F0E7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F0"/>
    <w:rsid w:val="00020851"/>
    <w:rsid w:val="00053365"/>
    <w:rsid w:val="000565D0"/>
    <w:rsid w:val="000B56D6"/>
    <w:rsid w:val="000D266E"/>
    <w:rsid w:val="000F2D66"/>
    <w:rsid w:val="000F3039"/>
    <w:rsid w:val="000F4E2E"/>
    <w:rsid w:val="000F734B"/>
    <w:rsid w:val="00130724"/>
    <w:rsid w:val="001516AC"/>
    <w:rsid w:val="001735E3"/>
    <w:rsid w:val="001E18C9"/>
    <w:rsid w:val="001F1433"/>
    <w:rsid w:val="00211D3D"/>
    <w:rsid w:val="00230E32"/>
    <w:rsid w:val="002604FA"/>
    <w:rsid w:val="00260FC5"/>
    <w:rsid w:val="002A0256"/>
    <w:rsid w:val="002D4494"/>
    <w:rsid w:val="002D58E0"/>
    <w:rsid w:val="002F1308"/>
    <w:rsid w:val="00307E06"/>
    <w:rsid w:val="00312346"/>
    <w:rsid w:val="00320093"/>
    <w:rsid w:val="00336CC0"/>
    <w:rsid w:val="00396C6E"/>
    <w:rsid w:val="003E7AF1"/>
    <w:rsid w:val="00442E71"/>
    <w:rsid w:val="00470D3C"/>
    <w:rsid w:val="004D4F5B"/>
    <w:rsid w:val="004E66F6"/>
    <w:rsid w:val="00585AD6"/>
    <w:rsid w:val="005C38AE"/>
    <w:rsid w:val="005F1657"/>
    <w:rsid w:val="006C5566"/>
    <w:rsid w:val="00730AE6"/>
    <w:rsid w:val="00732210"/>
    <w:rsid w:val="007C4F63"/>
    <w:rsid w:val="00817C7A"/>
    <w:rsid w:val="00832572"/>
    <w:rsid w:val="00840CAB"/>
    <w:rsid w:val="0087148C"/>
    <w:rsid w:val="008B5841"/>
    <w:rsid w:val="00985440"/>
    <w:rsid w:val="009B789C"/>
    <w:rsid w:val="009E101A"/>
    <w:rsid w:val="00A42DE7"/>
    <w:rsid w:val="00A52CE4"/>
    <w:rsid w:val="00A54AF0"/>
    <w:rsid w:val="00AB31E5"/>
    <w:rsid w:val="00AC0DDE"/>
    <w:rsid w:val="00AD08D1"/>
    <w:rsid w:val="00AD193D"/>
    <w:rsid w:val="00B048DC"/>
    <w:rsid w:val="00B2061A"/>
    <w:rsid w:val="00B52066"/>
    <w:rsid w:val="00B6753C"/>
    <w:rsid w:val="00B77097"/>
    <w:rsid w:val="00B77BB2"/>
    <w:rsid w:val="00B810BF"/>
    <w:rsid w:val="00B839C3"/>
    <w:rsid w:val="00BF588B"/>
    <w:rsid w:val="00C02881"/>
    <w:rsid w:val="00C1173E"/>
    <w:rsid w:val="00C2284F"/>
    <w:rsid w:val="00C34E2E"/>
    <w:rsid w:val="00C46437"/>
    <w:rsid w:val="00C6305B"/>
    <w:rsid w:val="00C75B52"/>
    <w:rsid w:val="00C7738A"/>
    <w:rsid w:val="00CC3C8C"/>
    <w:rsid w:val="00CC7BC3"/>
    <w:rsid w:val="00D2165E"/>
    <w:rsid w:val="00D756E0"/>
    <w:rsid w:val="00D87193"/>
    <w:rsid w:val="00DF1EF2"/>
    <w:rsid w:val="00E47886"/>
    <w:rsid w:val="00E6405F"/>
    <w:rsid w:val="00EF0563"/>
    <w:rsid w:val="00F063BD"/>
    <w:rsid w:val="00F37E44"/>
    <w:rsid w:val="00F40C92"/>
    <w:rsid w:val="00F97AA5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259F9B"/>
  <w15:chartTrackingRefBased/>
  <w15:docId w15:val="{790D7B4E-925B-41FD-A602-C4A9B52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customStyle="1" w:styleId="flietext">
    <w:name w:val="fließtext"/>
    <w:basedOn w:val="Standard"/>
    <w:pPr>
      <w:spacing w:after="60" w:line="240" w:lineRule="exact"/>
      <w:jc w:val="both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735E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7148C"/>
    <w:rPr>
      <w:color w:val="0000FF"/>
      <w:u w:val="single"/>
    </w:rPr>
  </w:style>
  <w:style w:type="character" w:styleId="HTMLAkronym">
    <w:name w:val="HTML Acronym"/>
    <w:uiPriority w:val="99"/>
    <w:unhideWhenUsed/>
    <w:rsid w:val="005C38AE"/>
  </w:style>
  <w:style w:type="character" w:styleId="Kommentarzeichen">
    <w:name w:val="annotation reference"/>
    <w:rsid w:val="001E18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8C9"/>
  </w:style>
  <w:style w:type="character" w:customStyle="1" w:styleId="KommentartextZchn">
    <w:name w:val="Kommentartext Zchn"/>
    <w:basedOn w:val="Absatz-Standardschriftart"/>
    <w:link w:val="Kommentartext"/>
    <w:rsid w:val="001E18C9"/>
  </w:style>
  <w:style w:type="paragraph" w:styleId="Kommentarthema">
    <w:name w:val="annotation subject"/>
    <w:basedOn w:val="Kommentartext"/>
    <w:next w:val="Kommentartext"/>
    <w:link w:val="KommentarthemaZchn"/>
    <w:rsid w:val="001E18C9"/>
    <w:rPr>
      <w:b/>
      <w:bCs/>
    </w:rPr>
  </w:style>
  <w:style w:type="character" w:customStyle="1" w:styleId="KommentarthemaZchn">
    <w:name w:val="Kommentarthema Zchn"/>
    <w:link w:val="Kommentarthema"/>
    <w:rsid w:val="001E18C9"/>
    <w:rPr>
      <w:b/>
      <w:bCs/>
    </w:rPr>
  </w:style>
  <w:style w:type="paragraph" w:styleId="Sprechblasentext">
    <w:name w:val="Balloon Text"/>
    <w:basedOn w:val="Standard"/>
    <w:link w:val="SprechblasentextZchn"/>
    <w:rsid w:val="001E1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8C9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3123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2017-05-04T13:01:00Z</cp:lastPrinted>
  <dcterms:created xsi:type="dcterms:W3CDTF">2019-12-04T08:54:00Z</dcterms:created>
  <dcterms:modified xsi:type="dcterms:W3CDTF">2019-12-04T08:54:00Z</dcterms:modified>
</cp:coreProperties>
</file>